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02" w:rsidRDefault="00544302" w:rsidP="00544302">
      <w:pPr>
        <w:snapToGrid w:val="0"/>
        <w:spacing w:line="560" w:lineRule="exact"/>
        <w:rPr>
          <w:rFonts w:ascii="宋体" w:hint="eastAsia"/>
          <w:b/>
          <w:sz w:val="44"/>
          <w:szCs w:val="44"/>
        </w:rPr>
      </w:pPr>
    </w:p>
    <w:p w:rsidR="00544302" w:rsidRPr="005746AC" w:rsidRDefault="00544302" w:rsidP="00544302">
      <w:pPr>
        <w:snapToGrid w:val="0"/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5746AC">
        <w:rPr>
          <w:rFonts w:ascii="方正小标宋_GBK" w:eastAsia="方正小标宋_GBK" w:hint="eastAsia"/>
          <w:sz w:val="44"/>
          <w:szCs w:val="44"/>
        </w:rPr>
        <w:t>长春市中级人民法院</w:t>
      </w:r>
    </w:p>
    <w:p w:rsidR="00544302" w:rsidRPr="005746AC" w:rsidRDefault="00544302" w:rsidP="00544302">
      <w:pPr>
        <w:snapToGrid w:val="0"/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5746AC">
        <w:rPr>
          <w:rFonts w:ascii="方正小标宋_GBK" w:eastAsia="方正小标宋_GBK" w:hint="eastAsia"/>
          <w:sz w:val="44"/>
          <w:szCs w:val="44"/>
        </w:rPr>
        <w:t>2015</w:t>
      </w:r>
      <w:r>
        <w:rPr>
          <w:rFonts w:ascii="方正小标宋_GBK" w:eastAsia="方正小标宋_GBK" w:hint="eastAsia"/>
          <w:sz w:val="44"/>
          <w:szCs w:val="44"/>
        </w:rPr>
        <w:t>年第二</w:t>
      </w:r>
      <w:r w:rsidRPr="005746AC">
        <w:rPr>
          <w:rFonts w:ascii="方正小标宋_GBK" w:eastAsia="方正小标宋_GBK" w:hint="eastAsia"/>
          <w:sz w:val="44"/>
          <w:szCs w:val="44"/>
        </w:rPr>
        <w:t>季度审判运行态势分析报告</w:t>
      </w:r>
    </w:p>
    <w:p w:rsidR="00544302" w:rsidRPr="005746AC" w:rsidRDefault="00544302" w:rsidP="00544302">
      <w:pPr>
        <w:snapToGrid w:val="0"/>
        <w:spacing w:line="360" w:lineRule="auto"/>
        <w:ind w:firstLineChars="200" w:firstLine="640"/>
        <w:textAlignment w:val="baseline"/>
        <w:rPr>
          <w:rFonts w:ascii="方正小标宋_GBK" w:eastAsia="方正小标宋_GBK" w:hint="eastAsia"/>
        </w:rPr>
      </w:pPr>
    </w:p>
    <w:p w:rsidR="00544302" w:rsidRPr="006524CB" w:rsidRDefault="00544302" w:rsidP="00544302">
      <w:pPr>
        <w:snapToGrid w:val="0"/>
        <w:spacing w:line="360" w:lineRule="auto"/>
        <w:ind w:firstLineChars="200" w:firstLine="640"/>
        <w:textAlignment w:val="baseline"/>
        <w:rPr>
          <w:rFonts w:ascii="仿宋_GB2312" w:eastAsia="仿宋_GB2312" w:hAnsi="仿宋" w:cs="仿宋" w:hint="eastAsia"/>
        </w:rPr>
      </w:pPr>
      <w:r w:rsidRPr="006524CB">
        <w:rPr>
          <w:rFonts w:ascii="仿宋_GB2312" w:eastAsia="仿宋_GB2312" w:hAnsi="仿宋" w:cs="仿宋" w:hint="eastAsia"/>
        </w:rPr>
        <w:t>2015年第二季度，长春中院</w:t>
      </w:r>
      <w:r>
        <w:rPr>
          <w:rFonts w:ascii="仿宋_GB2312" w:eastAsia="仿宋_GB2312" w:hAnsi="仿宋" w:cs="仿宋" w:hint="eastAsia"/>
        </w:rPr>
        <w:t>按照最高院</w:t>
      </w:r>
      <w:r w:rsidRPr="00C844C8">
        <w:rPr>
          <w:rFonts w:ascii="仿宋_GB2312" w:eastAsia="仿宋_GB2312" w:hint="eastAsia"/>
        </w:rPr>
        <w:t>《新时期进一步加强人民法院审判管理工作的意见》和《人民法院四五改革纲要》</w:t>
      </w:r>
      <w:r>
        <w:rPr>
          <w:rFonts w:ascii="仿宋_GB2312" w:eastAsia="仿宋_GB2312" w:hAnsi="仿宋" w:cs="仿宋" w:hint="eastAsia"/>
        </w:rPr>
        <w:t>的要求，</w:t>
      </w:r>
      <w:r w:rsidRPr="006524CB">
        <w:rPr>
          <w:rFonts w:ascii="仿宋_GB2312" w:eastAsia="仿宋_GB2312" w:hAnsi="仿宋" w:cs="仿宋" w:hint="eastAsia"/>
        </w:rPr>
        <w:t>继续坚持司法为民、公正司法，以审判管理一体化机制统筹审判执行各项工作。</w:t>
      </w:r>
      <w:r>
        <w:rPr>
          <w:rFonts w:ascii="仿宋_GB2312" w:eastAsia="仿宋_GB2312" w:hAnsi="仿宋" w:cs="仿宋" w:hint="eastAsia"/>
        </w:rPr>
        <w:t>上半年整体工作完成较好。</w:t>
      </w:r>
    </w:p>
    <w:p w:rsidR="00544302" w:rsidRPr="005746AC" w:rsidRDefault="00544302" w:rsidP="00544302">
      <w:pPr>
        <w:snapToGrid w:val="0"/>
        <w:spacing w:line="360" w:lineRule="auto"/>
        <w:ind w:firstLineChars="200" w:firstLine="640"/>
        <w:rPr>
          <w:rFonts w:ascii="黑体" w:eastAsia="黑体" w:hint="eastAsia"/>
        </w:rPr>
      </w:pPr>
      <w:r w:rsidRPr="005746AC">
        <w:rPr>
          <w:rFonts w:ascii="黑体" w:eastAsia="黑体" w:hint="eastAsia"/>
        </w:rPr>
        <w:t>一、收结案情况</w:t>
      </w:r>
    </w:p>
    <w:p w:rsidR="00544302" w:rsidRPr="00872023" w:rsidRDefault="00544302" w:rsidP="00544302">
      <w:pPr>
        <w:snapToGrid w:val="0"/>
        <w:spacing w:line="360" w:lineRule="auto"/>
        <w:ind w:firstLineChars="200" w:firstLine="643"/>
        <w:rPr>
          <w:rFonts w:ascii="仿宋_GB2312" w:eastAsia="仿宋_GB2312" w:hAnsi="仿宋" w:cs="仿宋" w:hint="eastAsia"/>
          <w:b/>
        </w:rPr>
      </w:pPr>
      <w:r w:rsidRPr="00872023">
        <w:rPr>
          <w:rFonts w:ascii="仿宋_GB2312" w:eastAsia="仿宋_GB2312" w:hAnsi="仿宋" w:cs="仿宋" w:hint="eastAsia"/>
          <w:b/>
        </w:rPr>
        <w:t>1、各类案件收结案情况</w:t>
      </w:r>
    </w:p>
    <w:p w:rsidR="00544302" w:rsidRPr="00872023" w:rsidRDefault="00544302" w:rsidP="00544302">
      <w:pPr>
        <w:snapToGrid w:val="0"/>
        <w:spacing w:line="360" w:lineRule="auto"/>
        <w:ind w:firstLineChars="200" w:firstLine="640"/>
        <w:textAlignment w:val="baseline"/>
        <w:rPr>
          <w:rFonts w:ascii="仿宋_GB2312" w:eastAsia="仿宋_GB2312" w:hAnsi="仿宋" w:cs="仿宋" w:hint="eastAsia"/>
        </w:rPr>
      </w:pPr>
      <w:r w:rsidRPr="00872023">
        <w:rPr>
          <w:rFonts w:ascii="仿宋_GB2312" w:eastAsia="仿宋_GB2312" w:hAnsi="仿宋" w:cs="仿宋" w:hint="eastAsia"/>
        </w:rPr>
        <w:t>2015</w:t>
      </w:r>
      <w:r>
        <w:rPr>
          <w:rFonts w:ascii="仿宋_GB2312" w:eastAsia="仿宋_GB2312" w:hAnsi="仿宋" w:cs="仿宋" w:hint="eastAsia"/>
        </w:rPr>
        <w:t>年二</w:t>
      </w:r>
      <w:r w:rsidRPr="00872023">
        <w:rPr>
          <w:rFonts w:ascii="仿宋_GB2312" w:eastAsia="仿宋_GB2312" w:hAnsi="仿宋" w:cs="仿宋" w:hint="eastAsia"/>
        </w:rPr>
        <w:t>季度，我院共受理各类案件</w:t>
      </w:r>
      <w:r>
        <w:rPr>
          <w:rFonts w:ascii="仿宋_GB2312" w:eastAsia="仿宋_GB2312" w:hAnsi="仿宋" w:cs="仿宋" w:hint="eastAsia"/>
        </w:rPr>
        <w:t>5810</w:t>
      </w:r>
      <w:r w:rsidRPr="00872023">
        <w:rPr>
          <w:rFonts w:ascii="仿宋_GB2312" w:eastAsia="仿宋_GB2312" w:hAnsi="仿宋" w:cs="仿宋" w:hint="eastAsia"/>
        </w:rPr>
        <w:t>件（旧存</w:t>
      </w:r>
      <w:r>
        <w:rPr>
          <w:rFonts w:ascii="仿宋_GB2312" w:eastAsia="仿宋_GB2312" w:hAnsi="仿宋" w:cs="仿宋" w:hint="eastAsia"/>
        </w:rPr>
        <w:t>1018</w:t>
      </w:r>
      <w:r w:rsidRPr="00872023">
        <w:rPr>
          <w:rFonts w:ascii="仿宋_GB2312" w:eastAsia="仿宋_GB2312" w:hAnsi="仿宋" w:cs="仿宋" w:hint="eastAsia"/>
        </w:rPr>
        <w:t>件、新收</w:t>
      </w:r>
      <w:r>
        <w:rPr>
          <w:rFonts w:ascii="仿宋_GB2312" w:eastAsia="仿宋_GB2312" w:hAnsi="仿宋" w:cs="仿宋" w:hint="eastAsia"/>
        </w:rPr>
        <w:t>4792件），同比提高12.53</w:t>
      </w:r>
      <w:r w:rsidRPr="00872023">
        <w:rPr>
          <w:rFonts w:ascii="仿宋_GB2312" w:eastAsia="仿宋_GB2312" w:hAnsi="仿宋" w:cs="仿宋" w:hint="eastAsia"/>
        </w:rPr>
        <w:t>%；审执结</w:t>
      </w:r>
      <w:r>
        <w:rPr>
          <w:rFonts w:ascii="仿宋_GB2312" w:eastAsia="仿宋_GB2312" w:hAnsi="仿宋" w:cs="仿宋" w:hint="eastAsia"/>
        </w:rPr>
        <w:t>3722</w:t>
      </w:r>
      <w:r w:rsidRPr="00872023">
        <w:rPr>
          <w:rFonts w:ascii="仿宋_GB2312" w:eastAsia="仿宋_GB2312" w:hAnsi="仿宋" w:cs="仿宋" w:hint="eastAsia"/>
        </w:rPr>
        <w:t>件，同比上升</w:t>
      </w:r>
      <w:r>
        <w:rPr>
          <w:rFonts w:ascii="仿宋_GB2312" w:eastAsia="仿宋_GB2312" w:hAnsi="仿宋" w:cs="仿宋" w:hint="eastAsia"/>
        </w:rPr>
        <w:t>9.53</w:t>
      </w:r>
      <w:r w:rsidRPr="00872023">
        <w:rPr>
          <w:rFonts w:ascii="仿宋_GB2312" w:eastAsia="仿宋_GB2312" w:hAnsi="仿宋" w:cs="仿宋" w:hint="eastAsia"/>
        </w:rPr>
        <w:t>%</w:t>
      </w:r>
      <w:r>
        <w:rPr>
          <w:rFonts w:ascii="仿宋_GB2312" w:eastAsia="仿宋_GB2312" w:hAnsi="仿宋" w:cs="仿宋" w:hint="eastAsia"/>
        </w:rPr>
        <w:t>；未结2088件，同比上升17.96</w:t>
      </w:r>
      <w:r w:rsidRPr="00872023">
        <w:rPr>
          <w:rFonts w:ascii="仿宋_GB2312" w:eastAsia="仿宋_GB2312" w:hAnsi="仿宋" w:cs="仿宋" w:hint="eastAsia"/>
        </w:rPr>
        <w:t>%；结案率</w:t>
      </w:r>
      <w:r>
        <w:rPr>
          <w:rFonts w:ascii="仿宋_GB2312" w:eastAsia="仿宋_GB2312" w:hAnsi="仿宋" w:cs="仿宋" w:hint="eastAsia"/>
        </w:rPr>
        <w:t>64.06</w:t>
      </w:r>
      <w:r w:rsidRPr="00872023">
        <w:rPr>
          <w:rFonts w:ascii="仿宋_GB2312" w:eastAsia="仿宋_GB2312" w:hAnsi="仿宋" w:cs="仿宋" w:hint="eastAsia"/>
        </w:rPr>
        <w:t>%</w:t>
      </w:r>
      <w:r>
        <w:rPr>
          <w:rFonts w:ascii="仿宋_GB2312" w:eastAsia="仿宋_GB2312" w:hAnsi="仿宋" w:cs="仿宋" w:hint="eastAsia"/>
        </w:rPr>
        <w:t>，同比下降2.19</w:t>
      </w:r>
      <w:r w:rsidRPr="00872023">
        <w:rPr>
          <w:rFonts w:ascii="仿宋_GB2312" w:eastAsia="仿宋_GB2312" w:hAnsi="仿宋" w:cs="仿宋" w:hint="eastAsia"/>
        </w:rPr>
        <w:t>个百分点。</w:t>
      </w:r>
    </w:p>
    <w:p w:rsidR="00544302" w:rsidRPr="003E19A5" w:rsidRDefault="00544302" w:rsidP="00544302">
      <w:pPr>
        <w:snapToGrid w:val="0"/>
        <w:spacing w:line="360" w:lineRule="auto"/>
        <w:ind w:firstLineChars="200" w:firstLine="640"/>
        <w:textAlignment w:val="baseline"/>
        <w:rPr>
          <w:rFonts w:ascii="仿宋_GB2312" w:eastAsia="仿宋_GB2312" w:hAnsi="仿宋" w:cs="仿宋" w:hint="eastAsia"/>
        </w:rPr>
      </w:pPr>
      <w:r>
        <w:rPr>
          <w:rFonts w:ascii="仿宋_GB2312" w:eastAsia="仿宋_GB2312" w:hAnsi="仿宋" w:cs="仿宋"/>
          <w:noProof/>
        </w:rPr>
        <w:lastRenderedPageBreak/>
        <w:drawing>
          <wp:inline distT="0" distB="0" distL="0" distR="0">
            <wp:extent cx="4565904" cy="3296793"/>
            <wp:effectExtent l="12192" t="6096" r="3429" b="2286"/>
            <wp:docPr id="1" name="图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tbl>
      <w:tblPr>
        <w:tblW w:w="0" w:type="auto"/>
        <w:jc w:val="center"/>
        <w:tblLayout w:type="fixed"/>
        <w:tblLook w:val="0000"/>
      </w:tblPr>
      <w:tblGrid>
        <w:gridCol w:w="1592"/>
        <w:gridCol w:w="948"/>
        <w:gridCol w:w="1151"/>
        <w:gridCol w:w="1134"/>
        <w:gridCol w:w="1134"/>
        <w:gridCol w:w="1701"/>
      </w:tblGrid>
      <w:tr w:rsidR="00544302" w:rsidRPr="00872023" w:rsidTr="00FC621E">
        <w:trPr>
          <w:trHeight w:val="255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302" w:rsidRPr="00EC6CE7" w:rsidRDefault="00544302" w:rsidP="00FC621E">
            <w:pPr>
              <w:widowControl/>
              <w:jc w:val="left"/>
              <w:rPr>
                <w:rFonts w:ascii="方正小标宋_GBK" w:eastAsia="方正小标宋_GBK" w:hAnsi="Arial" w:cs="Arial" w:hint="eastAsia"/>
                <w:kern w:val="0"/>
                <w:sz w:val="20"/>
                <w:szCs w:val="20"/>
              </w:rPr>
            </w:pPr>
            <w:r w:rsidRPr="00EC6CE7">
              <w:rPr>
                <w:rFonts w:ascii="方正小标宋_GBK" w:eastAsia="方正小标宋_GBK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02" w:rsidRPr="00EC6CE7" w:rsidRDefault="00544302" w:rsidP="00FC621E">
            <w:pPr>
              <w:widowControl/>
              <w:jc w:val="left"/>
              <w:rPr>
                <w:rFonts w:ascii="方正小标宋_GBK" w:eastAsia="方正小标宋_GBK" w:cs="Arial" w:hint="eastAsia"/>
                <w:kern w:val="0"/>
                <w:sz w:val="20"/>
                <w:szCs w:val="20"/>
              </w:rPr>
            </w:pPr>
            <w:r w:rsidRPr="00EC6CE7">
              <w:rPr>
                <w:rFonts w:ascii="方正小标宋_GBK" w:eastAsia="方正小标宋_GBK" w:cs="Arial" w:hint="eastAsia"/>
                <w:kern w:val="0"/>
                <w:sz w:val="20"/>
                <w:szCs w:val="20"/>
              </w:rPr>
              <w:t>旧存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02" w:rsidRPr="00EC6CE7" w:rsidRDefault="00544302" w:rsidP="00FC621E">
            <w:pPr>
              <w:widowControl/>
              <w:jc w:val="left"/>
              <w:rPr>
                <w:rFonts w:ascii="方正小标宋_GBK" w:eastAsia="方正小标宋_GBK" w:cs="Arial" w:hint="eastAsia"/>
                <w:kern w:val="0"/>
                <w:sz w:val="20"/>
                <w:szCs w:val="20"/>
              </w:rPr>
            </w:pPr>
            <w:r w:rsidRPr="00EC6CE7">
              <w:rPr>
                <w:rFonts w:ascii="方正小标宋_GBK" w:eastAsia="方正小标宋_GBK" w:cs="Arial" w:hint="eastAsia"/>
                <w:kern w:val="0"/>
                <w:sz w:val="20"/>
                <w:szCs w:val="20"/>
              </w:rPr>
              <w:t>新收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02" w:rsidRPr="00EC6CE7" w:rsidRDefault="00544302" w:rsidP="00FC621E">
            <w:pPr>
              <w:widowControl/>
              <w:jc w:val="left"/>
              <w:rPr>
                <w:rFonts w:ascii="方正小标宋_GBK" w:eastAsia="方正小标宋_GBK" w:cs="Arial" w:hint="eastAsia"/>
                <w:kern w:val="0"/>
                <w:sz w:val="20"/>
                <w:szCs w:val="20"/>
              </w:rPr>
            </w:pPr>
            <w:r w:rsidRPr="00EC6CE7">
              <w:rPr>
                <w:rFonts w:ascii="方正小标宋_GBK" w:eastAsia="方正小标宋_GBK" w:cs="Arial" w:hint="eastAsia"/>
                <w:kern w:val="0"/>
                <w:sz w:val="20"/>
                <w:szCs w:val="20"/>
              </w:rPr>
              <w:t>结案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02" w:rsidRPr="00EC6CE7" w:rsidRDefault="00544302" w:rsidP="00FC621E">
            <w:pPr>
              <w:widowControl/>
              <w:jc w:val="left"/>
              <w:rPr>
                <w:rFonts w:ascii="方正小标宋_GBK" w:eastAsia="方正小标宋_GBK" w:cs="Arial" w:hint="eastAsia"/>
                <w:kern w:val="0"/>
                <w:sz w:val="20"/>
                <w:szCs w:val="20"/>
              </w:rPr>
            </w:pPr>
            <w:r w:rsidRPr="00EC6CE7">
              <w:rPr>
                <w:rFonts w:ascii="方正小标宋_GBK" w:eastAsia="方正小标宋_GBK" w:cs="Arial" w:hint="eastAsia"/>
                <w:kern w:val="0"/>
                <w:sz w:val="20"/>
                <w:szCs w:val="20"/>
              </w:rPr>
              <w:t>未结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02" w:rsidRPr="00EC6CE7" w:rsidRDefault="00544302" w:rsidP="00FC621E">
            <w:pPr>
              <w:widowControl/>
              <w:jc w:val="left"/>
              <w:rPr>
                <w:rFonts w:ascii="方正小标宋_GBK" w:eastAsia="方正小标宋_GBK" w:cs="Arial" w:hint="eastAsia"/>
                <w:kern w:val="0"/>
                <w:sz w:val="20"/>
                <w:szCs w:val="20"/>
              </w:rPr>
            </w:pPr>
            <w:r w:rsidRPr="00EC6CE7">
              <w:rPr>
                <w:rFonts w:ascii="方正小标宋_GBK" w:eastAsia="方正小标宋_GBK" w:cs="Arial" w:hint="eastAsia"/>
                <w:kern w:val="0"/>
                <w:sz w:val="20"/>
                <w:szCs w:val="20"/>
              </w:rPr>
              <w:t>总收案</w:t>
            </w:r>
          </w:p>
        </w:tc>
      </w:tr>
      <w:tr w:rsidR="00544302" w:rsidRPr="00872023" w:rsidTr="00FC621E">
        <w:trPr>
          <w:trHeight w:val="255"/>
          <w:jc w:val="center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302" w:rsidRPr="00EC6CE7" w:rsidRDefault="00544302" w:rsidP="00FC621E">
            <w:pPr>
              <w:widowControl/>
              <w:jc w:val="left"/>
              <w:rPr>
                <w:rFonts w:ascii="方正小标宋_GBK" w:eastAsia="方正小标宋_GBK" w:hAnsi="Arial" w:cs="Arial" w:hint="eastAsia"/>
                <w:kern w:val="0"/>
                <w:sz w:val="20"/>
                <w:szCs w:val="20"/>
              </w:rPr>
            </w:pPr>
            <w:r w:rsidRPr="00EC6CE7">
              <w:rPr>
                <w:rFonts w:ascii="方正小标宋_GBK" w:eastAsia="方正小标宋_GBK" w:hAnsi="Arial" w:cs="Arial" w:hint="eastAsia"/>
                <w:kern w:val="0"/>
                <w:sz w:val="20"/>
                <w:szCs w:val="20"/>
              </w:rPr>
              <w:t>2015</w:t>
            </w:r>
            <w:r>
              <w:rPr>
                <w:rFonts w:ascii="方正小标宋_GBK" w:eastAsia="方正小标宋_GBK" w:cs="Arial" w:hint="eastAsia"/>
                <w:kern w:val="0"/>
                <w:sz w:val="20"/>
                <w:szCs w:val="20"/>
              </w:rPr>
              <w:t>年上半年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2C27B"/>
            <w:vAlign w:val="center"/>
          </w:tcPr>
          <w:p w:rsidR="00544302" w:rsidRPr="00EC6CE7" w:rsidRDefault="00544302" w:rsidP="00FC621E">
            <w:pPr>
              <w:widowControl/>
              <w:jc w:val="right"/>
              <w:rPr>
                <w:rFonts w:ascii="方正小标宋_GBK" w:eastAsia="方正小标宋_GBK" w:hAnsi="Arial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方正小标宋_GBK" w:eastAsia="方正小标宋_GBK" w:hAnsi="Arial" w:cs="Arial" w:hint="eastAsia"/>
                <w:color w:val="000000"/>
                <w:kern w:val="0"/>
                <w:sz w:val="20"/>
                <w:szCs w:val="20"/>
              </w:rPr>
              <w:t>1018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07C"/>
            <w:vAlign w:val="center"/>
          </w:tcPr>
          <w:p w:rsidR="00544302" w:rsidRPr="00EC6CE7" w:rsidRDefault="00544302" w:rsidP="00FC621E">
            <w:pPr>
              <w:widowControl/>
              <w:jc w:val="right"/>
              <w:rPr>
                <w:rFonts w:ascii="方正小标宋_GBK" w:eastAsia="方正小标宋_GBK" w:hAnsi="Arial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方正小标宋_GBK" w:eastAsia="方正小标宋_GBK" w:hAnsi="Arial" w:cs="Arial" w:hint="eastAsia"/>
                <w:color w:val="000000"/>
                <w:kern w:val="0"/>
                <w:sz w:val="20"/>
                <w:szCs w:val="20"/>
              </w:rPr>
              <w:t>4792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A84"/>
            <w:vAlign w:val="center"/>
          </w:tcPr>
          <w:p w:rsidR="00544302" w:rsidRPr="00EC6CE7" w:rsidRDefault="00544302" w:rsidP="00FC621E">
            <w:pPr>
              <w:widowControl/>
              <w:jc w:val="right"/>
              <w:rPr>
                <w:rFonts w:ascii="方正小标宋_GBK" w:eastAsia="方正小标宋_GBK" w:hAnsi="Arial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方正小标宋_GBK" w:eastAsia="方正小标宋_GBK" w:hAnsi="Arial" w:cs="Arial" w:hint="eastAsia"/>
                <w:color w:val="000000"/>
                <w:kern w:val="0"/>
                <w:sz w:val="20"/>
                <w:szCs w:val="20"/>
              </w:rPr>
              <w:t>3722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B80"/>
            <w:vAlign w:val="center"/>
          </w:tcPr>
          <w:p w:rsidR="00544302" w:rsidRPr="00EC6CE7" w:rsidRDefault="00544302" w:rsidP="00FC621E">
            <w:pPr>
              <w:widowControl/>
              <w:jc w:val="right"/>
              <w:rPr>
                <w:rFonts w:ascii="方正小标宋_GBK" w:eastAsia="方正小标宋_GBK" w:hAnsi="Arial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方正小标宋_GBK" w:eastAsia="方正小标宋_GBK" w:hAnsi="Arial" w:cs="Arial" w:hint="eastAsia"/>
                <w:color w:val="000000"/>
                <w:kern w:val="0"/>
                <w:sz w:val="20"/>
                <w:szCs w:val="20"/>
              </w:rPr>
              <w:t>2088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16D"/>
            <w:vAlign w:val="center"/>
          </w:tcPr>
          <w:p w:rsidR="00544302" w:rsidRPr="00EC6CE7" w:rsidRDefault="00544302" w:rsidP="00FC621E">
            <w:pPr>
              <w:widowControl/>
              <w:jc w:val="right"/>
              <w:rPr>
                <w:rFonts w:ascii="方正小标宋_GBK" w:eastAsia="方正小标宋_GBK" w:hAnsi="Arial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方正小标宋_GBK" w:eastAsia="方正小标宋_GBK" w:hAnsi="Arial" w:cs="Arial" w:hint="eastAsia"/>
                <w:color w:val="000000"/>
                <w:kern w:val="0"/>
                <w:sz w:val="20"/>
                <w:szCs w:val="20"/>
              </w:rPr>
              <w:t>5810</w:t>
            </w:r>
          </w:p>
        </w:tc>
      </w:tr>
      <w:tr w:rsidR="00544302" w:rsidRPr="00872023" w:rsidTr="00FC621E">
        <w:trPr>
          <w:trHeight w:val="255"/>
          <w:jc w:val="center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302" w:rsidRPr="00EC6CE7" w:rsidRDefault="00544302" w:rsidP="00FC621E">
            <w:pPr>
              <w:widowControl/>
              <w:jc w:val="left"/>
              <w:rPr>
                <w:rFonts w:ascii="方正小标宋_GBK" w:eastAsia="方正小标宋_GBK" w:hAnsi="Arial" w:cs="Arial" w:hint="eastAsia"/>
                <w:kern w:val="0"/>
                <w:sz w:val="20"/>
                <w:szCs w:val="20"/>
              </w:rPr>
            </w:pPr>
            <w:r w:rsidRPr="00EC6CE7">
              <w:rPr>
                <w:rFonts w:ascii="方正小标宋_GBK" w:eastAsia="方正小标宋_GBK" w:hAnsi="Arial" w:cs="Arial" w:hint="eastAsia"/>
                <w:kern w:val="0"/>
                <w:sz w:val="20"/>
                <w:szCs w:val="20"/>
              </w:rPr>
              <w:t>2014</w:t>
            </w:r>
            <w:r>
              <w:rPr>
                <w:rFonts w:ascii="方正小标宋_GBK" w:eastAsia="方正小标宋_GBK" w:cs="Arial" w:hint="eastAsia"/>
                <w:kern w:val="0"/>
                <w:sz w:val="20"/>
                <w:szCs w:val="20"/>
              </w:rPr>
              <w:t>年上半年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bottom"/>
          </w:tcPr>
          <w:p w:rsidR="00544302" w:rsidRPr="00EC6CE7" w:rsidRDefault="00544302" w:rsidP="00FC621E">
            <w:pPr>
              <w:widowControl/>
              <w:jc w:val="right"/>
              <w:rPr>
                <w:rFonts w:ascii="方正小标宋_GBK" w:eastAsia="方正小标宋_GBK" w:hAnsi="Arial" w:cs="Arial" w:hint="eastAsia"/>
                <w:kern w:val="0"/>
                <w:sz w:val="20"/>
                <w:szCs w:val="20"/>
              </w:rPr>
            </w:pPr>
            <w:r w:rsidRPr="00EC6CE7">
              <w:rPr>
                <w:rFonts w:ascii="方正小标宋_GBK" w:eastAsia="方正小标宋_GBK" w:hAnsi="Arial" w:cs="Arial" w:hint="eastAsia"/>
                <w:kern w:val="0"/>
                <w:sz w:val="20"/>
                <w:szCs w:val="20"/>
              </w:rPr>
              <w:t>925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179"/>
            <w:vAlign w:val="bottom"/>
          </w:tcPr>
          <w:p w:rsidR="00544302" w:rsidRPr="00EC6CE7" w:rsidRDefault="00544302" w:rsidP="00FC621E">
            <w:pPr>
              <w:widowControl/>
              <w:jc w:val="right"/>
              <w:rPr>
                <w:rFonts w:ascii="方正小标宋_GBK" w:eastAsia="方正小标宋_GBK" w:hAnsi="Arial" w:cs="Arial" w:hint="eastAsia"/>
                <w:kern w:val="0"/>
                <w:sz w:val="20"/>
                <w:szCs w:val="20"/>
              </w:rPr>
            </w:pPr>
            <w:r>
              <w:rPr>
                <w:rFonts w:ascii="方正小标宋_GBK" w:eastAsia="方正小标宋_GBK" w:hAnsi="Arial" w:cs="Arial" w:hint="eastAsia"/>
                <w:kern w:val="0"/>
                <w:sz w:val="20"/>
                <w:szCs w:val="20"/>
              </w:rPr>
              <w:t>4157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983"/>
            <w:vAlign w:val="bottom"/>
          </w:tcPr>
          <w:p w:rsidR="00544302" w:rsidRPr="00EC6CE7" w:rsidRDefault="00544302" w:rsidP="00FC621E">
            <w:pPr>
              <w:widowControl/>
              <w:jc w:val="right"/>
              <w:rPr>
                <w:rFonts w:ascii="方正小标宋_GBK" w:eastAsia="方正小标宋_GBK" w:hAnsi="Arial" w:cs="Arial" w:hint="eastAsia"/>
                <w:kern w:val="0"/>
                <w:sz w:val="20"/>
                <w:szCs w:val="20"/>
              </w:rPr>
            </w:pPr>
            <w:r>
              <w:rPr>
                <w:rFonts w:ascii="方正小标宋_GBK" w:eastAsia="方正小标宋_GBK" w:hAnsi="Arial" w:cs="Arial" w:hint="eastAsia"/>
                <w:kern w:val="0"/>
                <w:sz w:val="20"/>
                <w:szCs w:val="20"/>
              </w:rPr>
              <w:t>3367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282"/>
            <w:vAlign w:val="bottom"/>
          </w:tcPr>
          <w:p w:rsidR="00544302" w:rsidRPr="00EC6CE7" w:rsidRDefault="00544302" w:rsidP="00FC621E">
            <w:pPr>
              <w:widowControl/>
              <w:jc w:val="right"/>
              <w:rPr>
                <w:rFonts w:ascii="方正小标宋_GBK" w:eastAsia="方正小标宋_GBK" w:hAnsi="Arial" w:cs="Arial" w:hint="eastAsia"/>
                <w:kern w:val="0"/>
                <w:sz w:val="20"/>
                <w:szCs w:val="20"/>
              </w:rPr>
            </w:pPr>
            <w:r>
              <w:rPr>
                <w:rFonts w:ascii="方正小标宋_GBK" w:eastAsia="方正小标宋_GBK" w:hAnsi="Arial" w:cs="Arial" w:hint="eastAsia"/>
                <w:kern w:val="0"/>
                <w:sz w:val="20"/>
                <w:szCs w:val="20"/>
              </w:rPr>
              <w:t>1713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bottom"/>
          </w:tcPr>
          <w:p w:rsidR="00544302" w:rsidRPr="00EC6CE7" w:rsidRDefault="00544302" w:rsidP="00FC621E">
            <w:pPr>
              <w:widowControl/>
              <w:jc w:val="right"/>
              <w:rPr>
                <w:rFonts w:ascii="方正小标宋_GBK" w:eastAsia="方正小标宋_GBK" w:hAnsi="Arial" w:cs="Arial" w:hint="eastAsia"/>
                <w:kern w:val="0"/>
                <w:sz w:val="20"/>
                <w:szCs w:val="20"/>
              </w:rPr>
            </w:pPr>
            <w:r>
              <w:rPr>
                <w:rFonts w:ascii="方正小标宋_GBK" w:eastAsia="方正小标宋_GBK" w:hAnsi="Arial" w:cs="Arial" w:hint="eastAsia"/>
                <w:kern w:val="0"/>
                <w:sz w:val="20"/>
                <w:szCs w:val="20"/>
              </w:rPr>
              <w:t>5082</w:t>
            </w:r>
          </w:p>
        </w:tc>
      </w:tr>
    </w:tbl>
    <w:p w:rsidR="00544302" w:rsidRPr="00872023" w:rsidRDefault="00544302" w:rsidP="00544302">
      <w:pPr>
        <w:snapToGrid w:val="0"/>
        <w:spacing w:line="360" w:lineRule="auto"/>
        <w:ind w:firstLineChars="200" w:firstLine="640"/>
        <w:textAlignment w:val="baseline"/>
        <w:rPr>
          <w:rFonts w:ascii="仿宋_GB2312" w:eastAsia="仿宋_GB2312" w:hint="eastAsia"/>
        </w:rPr>
      </w:pPr>
    </w:p>
    <w:p w:rsidR="00544302" w:rsidRPr="00872023" w:rsidRDefault="00544302" w:rsidP="00544302">
      <w:pPr>
        <w:snapToGrid w:val="0"/>
        <w:spacing w:line="360" w:lineRule="auto"/>
        <w:ind w:firstLineChars="200" w:firstLine="640"/>
        <w:textAlignment w:val="baseline"/>
        <w:rPr>
          <w:rFonts w:ascii="仿宋_GB2312" w:eastAsia="仿宋_GB2312" w:hAnsi="仿宋" w:cs="仿宋" w:hint="eastAsia"/>
        </w:rPr>
      </w:pPr>
      <w:r w:rsidRPr="00872023">
        <w:rPr>
          <w:rFonts w:ascii="仿宋_GB2312" w:eastAsia="仿宋_GB2312" w:hAnsi="仿宋" w:cs="仿宋" w:hint="eastAsia"/>
        </w:rPr>
        <w:t>刑事一审、二审、再审案件受理</w:t>
      </w:r>
      <w:r>
        <w:rPr>
          <w:rFonts w:ascii="仿宋_GB2312" w:eastAsia="仿宋_GB2312" w:hAnsi="仿宋" w:cs="仿宋" w:hint="eastAsia"/>
        </w:rPr>
        <w:t>1640件，同比下降20.67</w:t>
      </w:r>
      <w:r w:rsidRPr="00872023">
        <w:rPr>
          <w:rFonts w:ascii="仿宋_GB2312" w:eastAsia="仿宋_GB2312" w:hAnsi="仿宋" w:cs="仿宋" w:hint="eastAsia"/>
        </w:rPr>
        <w:t>%；结案</w:t>
      </w:r>
      <w:r>
        <w:rPr>
          <w:rFonts w:ascii="仿宋_GB2312" w:eastAsia="仿宋_GB2312" w:hAnsi="仿宋" w:cs="仿宋" w:hint="eastAsia"/>
        </w:rPr>
        <w:t>1388件，同比下降4.47</w:t>
      </w:r>
      <w:r w:rsidRPr="00872023">
        <w:rPr>
          <w:rFonts w:ascii="仿宋_GB2312" w:eastAsia="仿宋_GB2312" w:hAnsi="仿宋" w:cs="仿宋" w:hint="eastAsia"/>
        </w:rPr>
        <w:t>%；结案率为</w:t>
      </w:r>
      <w:r>
        <w:rPr>
          <w:rFonts w:ascii="仿宋_GB2312" w:eastAsia="仿宋_GB2312" w:hAnsi="仿宋" w:cs="仿宋" w:hint="eastAsia"/>
        </w:rPr>
        <w:t>84.63</w:t>
      </w:r>
      <w:r w:rsidRPr="00872023">
        <w:rPr>
          <w:rFonts w:ascii="仿宋_GB2312" w:eastAsia="仿宋_GB2312" w:hAnsi="仿宋" w:cs="仿宋" w:hint="eastAsia"/>
        </w:rPr>
        <w:t>%，同比提高</w:t>
      </w:r>
      <w:r>
        <w:rPr>
          <w:rFonts w:ascii="仿宋_GB2312" w:eastAsia="仿宋_GB2312" w:hAnsi="仿宋" w:cs="仿宋" w:hint="eastAsia"/>
        </w:rPr>
        <w:t>11.36</w:t>
      </w:r>
      <w:r w:rsidRPr="00872023">
        <w:rPr>
          <w:rFonts w:ascii="仿宋_GB2312" w:eastAsia="仿宋_GB2312" w:hAnsi="仿宋" w:cs="仿宋" w:hint="eastAsia"/>
        </w:rPr>
        <w:t>个百分点。</w:t>
      </w:r>
    </w:p>
    <w:p w:rsidR="00544302" w:rsidRPr="003E19A5" w:rsidRDefault="00544302" w:rsidP="00544302">
      <w:pPr>
        <w:snapToGrid w:val="0"/>
        <w:spacing w:line="360" w:lineRule="auto"/>
        <w:ind w:firstLineChars="200" w:firstLine="640"/>
        <w:textAlignment w:val="baseline"/>
        <w:rPr>
          <w:rFonts w:ascii="仿宋_GB2312" w:eastAsia="仿宋_GB2312" w:hAnsi="仿宋" w:cs="仿宋" w:hint="eastAsia"/>
        </w:rPr>
      </w:pPr>
      <w:r w:rsidRPr="00872023">
        <w:rPr>
          <w:rFonts w:ascii="仿宋_GB2312" w:eastAsia="仿宋_GB2312" w:hAnsi="仿宋" w:cs="仿宋" w:hint="eastAsia"/>
        </w:rPr>
        <w:t>民事一审、二审、再审案件受理</w:t>
      </w:r>
      <w:r>
        <w:rPr>
          <w:rFonts w:ascii="仿宋_GB2312" w:eastAsia="仿宋_GB2312" w:hAnsi="仿宋" w:cs="仿宋" w:hint="eastAsia"/>
        </w:rPr>
        <w:t>3065</w:t>
      </w:r>
      <w:r w:rsidRPr="00872023">
        <w:rPr>
          <w:rFonts w:ascii="仿宋_GB2312" w:eastAsia="仿宋_GB2312" w:hAnsi="仿宋" w:cs="仿宋" w:hint="eastAsia"/>
        </w:rPr>
        <w:t>件，同比上升</w:t>
      </w:r>
      <w:r>
        <w:rPr>
          <w:rFonts w:ascii="仿宋_GB2312" w:eastAsia="仿宋_GB2312" w:hAnsi="仿宋" w:cs="仿宋" w:hint="eastAsia"/>
        </w:rPr>
        <w:t>27.24</w:t>
      </w:r>
      <w:r w:rsidRPr="00872023">
        <w:rPr>
          <w:rFonts w:ascii="仿宋_GB2312" w:eastAsia="仿宋_GB2312" w:hAnsi="仿宋" w:cs="仿宋" w:hint="eastAsia"/>
        </w:rPr>
        <w:t>%；结案</w:t>
      </w:r>
      <w:r>
        <w:rPr>
          <w:rFonts w:ascii="仿宋_GB2312" w:eastAsia="仿宋_GB2312" w:hAnsi="仿宋" w:cs="仿宋" w:hint="eastAsia"/>
        </w:rPr>
        <w:t>1847</w:t>
      </w:r>
      <w:r w:rsidRPr="00872023">
        <w:rPr>
          <w:rFonts w:ascii="仿宋_GB2312" w:eastAsia="仿宋_GB2312" w:hAnsi="仿宋" w:cs="仿宋" w:hint="eastAsia"/>
        </w:rPr>
        <w:t>件，同比上升</w:t>
      </w:r>
      <w:r>
        <w:rPr>
          <w:rFonts w:ascii="仿宋_GB2312" w:eastAsia="仿宋_GB2312" w:hAnsi="仿宋" w:cs="仿宋" w:hint="eastAsia"/>
        </w:rPr>
        <w:t>22.58</w:t>
      </w:r>
      <w:r w:rsidRPr="00872023">
        <w:rPr>
          <w:rFonts w:ascii="仿宋_GB2312" w:eastAsia="仿宋_GB2312" w:hAnsi="仿宋" w:cs="仿宋" w:hint="eastAsia"/>
        </w:rPr>
        <w:t>%；结案率为</w:t>
      </w:r>
      <w:r>
        <w:rPr>
          <w:rFonts w:ascii="仿宋_GB2312" w:eastAsia="仿宋_GB2312" w:hAnsi="仿宋" w:cs="仿宋" w:hint="eastAsia"/>
        </w:rPr>
        <w:t>60.26</w:t>
      </w:r>
      <w:r w:rsidRPr="00872023">
        <w:rPr>
          <w:rFonts w:ascii="仿宋_GB2312" w:eastAsia="仿宋_GB2312" w:hAnsi="仿宋" w:cs="仿宋" w:hint="eastAsia"/>
        </w:rPr>
        <w:t>%</w:t>
      </w:r>
      <w:r>
        <w:rPr>
          <w:rFonts w:ascii="仿宋_GB2312" w:eastAsia="仿宋_GB2312" w:hAnsi="仿宋" w:cs="仿宋" w:hint="eastAsia"/>
        </w:rPr>
        <w:t>，同比下降3.87</w:t>
      </w:r>
      <w:r w:rsidRPr="00872023">
        <w:rPr>
          <w:rFonts w:ascii="仿宋_GB2312" w:eastAsia="仿宋_GB2312" w:hAnsi="仿宋" w:cs="仿宋" w:hint="eastAsia"/>
        </w:rPr>
        <w:t>个百分点。</w:t>
      </w:r>
    </w:p>
    <w:p w:rsidR="00544302" w:rsidRPr="00872023" w:rsidRDefault="00544302" w:rsidP="00544302">
      <w:pPr>
        <w:snapToGrid w:val="0"/>
        <w:spacing w:line="360" w:lineRule="auto"/>
        <w:ind w:firstLineChars="200" w:firstLine="640"/>
        <w:textAlignment w:val="baseline"/>
        <w:rPr>
          <w:rFonts w:ascii="仿宋_GB2312" w:eastAsia="仿宋_GB2312" w:hAnsi="仿宋" w:cs="仿宋" w:hint="eastAsia"/>
        </w:rPr>
      </w:pPr>
      <w:r w:rsidRPr="00872023">
        <w:rPr>
          <w:rFonts w:ascii="仿宋_GB2312" w:eastAsia="仿宋_GB2312" w:hAnsi="仿宋" w:cs="仿宋" w:hint="eastAsia"/>
        </w:rPr>
        <w:t>行政一审、二审、再审案件受理</w:t>
      </w:r>
      <w:r>
        <w:rPr>
          <w:rFonts w:ascii="仿宋_GB2312" w:eastAsia="仿宋_GB2312" w:hAnsi="仿宋" w:cs="仿宋" w:hint="eastAsia"/>
        </w:rPr>
        <w:t>214件，同比上升55.14</w:t>
      </w:r>
      <w:r w:rsidRPr="00872023">
        <w:rPr>
          <w:rFonts w:ascii="仿宋_GB2312" w:eastAsia="仿宋_GB2312" w:hAnsi="仿宋" w:cs="仿宋" w:hint="eastAsia"/>
        </w:rPr>
        <w:t>%；结案</w:t>
      </w:r>
      <w:r>
        <w:rPr>
          <w:rFonts w:ascii="仿宋_GB2312" w:eastAsia="仿宋_GB2312" w:hAnsi="仿宋" w:cs="仿宋" w:hint="eastAsia"/>
        </w:rPr>
        <w:t>107</w:t>
      </w:r>
      <w:r w:rsidRPr="00872023">
        <w:rPr>
          <w:rFonts w:ascii="仿宋_GB2312" w:eastAsia="仿宋_GB2312" w:hAnsi="仿宋" w:cs="仿宋" w:hint="eastAsia"/>
        </w:rPr>
        <w:t>件，同比上升</w:t>
      </w:r>
      <w:r>
        <w:rPr>
          <w:rFonts w:ascii="仿宋_GB2312" w:eastAsia="仿宋_GB2312" w:hAnsi="仿宋" w:cs="仿宋" w:hint="eastAsia"/>
        </w:rPr>
        <w:t>28.04</w:t>
      </w:r>
      <w:r w:rsidRPr="00872023">
        <w:rPr>
          <w:rFonts w:ascii="仿宋_GB2312" w:eastAsia="仿宋_GB2312" w:hAnsi="仿宋" w:cs="仿宋" w:hint="eastAsia"/>
        </w:rPr>
        <w:t>%；结案率</w:t>
      </w:r>
      <w:r>
        <w:rPr>
          <w:rFonts w:ascii="仿宋_GB2312" w:eastAsia="仿宋_GB2312" w:hAnsi="仿宋" w:cs="仿宋" w:hint="eastAsia"/>
        </w:rPr>
        <w:t>50</w:t>
      </w:r>
      <w:r w:rsidRPr="00872023">
        <w:rPr>
          <w:rFonts w:ascii="仿宋_GB2312" w:eastAsia="仿宋_GB2312" w:hAnsi="仿宋" w:cs="仿宋" w:hint="eastAsia"/>
        </w:rPr>
        <w:t>%</w:t>
      </w:r>
      <w:r>
        <w:rPr>
          <w:rFonts w:ascii="仿宋_GB2312" w:eastAsia="仿宋_GB2312" w:hAnsi="仿宋" w:cs="仿宋" w:hint="eastAsia"/>
        </w:rPr>
        <w:t>，同比下降30.21</w:t>
      </w:r>
      <w:r w:rsidRPr="00872023">
        <w:rPr>
          <w:rFonts w:ascii="仿宋_GB2312" w:eastAsia="仿宋_GB2312" w:hAnsi="仿宋" w:cs="仿宋" w:hint="eastAsia"/>
        </w:rPr>
        <w:t>个百分点。</w:t>
      </w:r>
    </w:p>
    <w:p w:rsidR="00544302" w:rsidRPr="00872023" w:rsidRDefault="00544302" w:rsidP="00544302">
      <w:pPr>
        <w:snapToGrid w:val="0"/>
        <w:spacing w:line="360" w:lineRule="auto"/>
        <w:ind w:firstLineChars="200" w:firstLine="640"/>
        <w:textAlignment w:val="baseline"/>
        <w:rPr>
          <w:rFonts w:ascii="仿宋_GB2312" w:eastAsia="仿宋_GB2312" w:hAnsi="仿宋" w:cs="仿宋" w:hint="eastAsia"/>
        </w:rPr>
      </w:pPr>
      <w:r w:rsidRPr="00872023">
        <w:rPr>
          <w:rFonts w:ascii="仿宋_GB2312" w:eastAsia="仿宋_GB2312" w:hAnsi="仿宋" w:cs="仿宋" w:hint="eastAsia"/>
        </w:rPr>
        <w:t>执行案件受理</w:t>
      </w:r>
      <w:r>
        <w:rPr>
          <w:rFonts w:ascii="仿宋_GB2312" w:eastAsia="仿宋_GB2312" w:hAnsi="仿宋" w:cs="仿宋" w:hint="eastAsia"/>
        </w:rPr>
        <w:t>636</w:t>
      </w:r>
      <w:r w:rsidRPr="00872023">
        <w:rPr>
          <w:rFonts w:ascii="仿宋_GB2312" w:eastAsia="仿宋_GB2312" w:hAnsi="仿宋" w:cs="仿宋" w:hint="eastAsia"/>
        </w:rPr>
        <w:t>件，同比上升</w:t>
      </w:r>
      <w:r>
        <w:rPr>
          <w:rFonts w:ascii="仿宋_GB2312" w:eastAsia="仿宋_GB2312" w:hAnsi="仿宋" w:cs="仿宋" w:hint="eastAsia"/>
        </w:rPr>
        <w:t>17.76</w:t>
      </w:r>
      <w:r w:rsidRPr="00872023">
        <w:rPr>
          <w:rFonts w:ascii="仿宋_GB2312" w:eastAsia="仿宋_GB2312" w:hAnsi="仿宋" w:cs="仿宋" w:hint="eastAsia"/>
        </w:rPr>
        <w:t>%；结案</w:t>
      </w:r>
      <w:r>
        <w:rPr>
          <w:rFonts w:ascii="仿宋_GB2312" w:eastAsia="仿宋_GB2312" w:hAnsi="仿宋" w:cs="仿宋" w:hint="eastAsia"/>
        </w:rPr>
        <w:t>197</w:t>
      </w:r>
      <w:r w:rsidRPr="00872023">
        <w:rPr>
          <w:rFonts w:ascii="仿宋_GB2312" w:eastAsia="仿宋_GB2312" w:hAnsi="仿宋" w:cs="仿宋" w:hint="eastAsia"/>
        </w:rPr>
        <w:t>件，同比上升</w:t>
      </w:r>
      <w:r>
        <w:rPr>
          <w:rFonts w:ascii="仿宋_GB2312" w:eastAsia="仿宋_GB2312" w:hAnsi="仿宋" w:cs="仿宋" w:hint="eastAsia"/>
        </w:rPr>
        <w:t>2.54</w:t>
      </w:r>
      <w:r w:rsidRPr="00872023">
        <w:rPr>
          <w:rFonts w:ascii="仿宋_GB2312" w:eastAsia="仿宋_GB2312" w:hAnsi="仿宋" w:cs="仿宋" w:hint="eastAsia"/>
        </w:rPr>
        <w:t>%；结案率</w:t>
      </w:r>
      <w:r>
        <w:rPr>
          <w:rFonts w:ascii="仿宋_GB2312" w:eastAsia="仿宋_GB2312" w:hAnsi="仿宋" w:cs="仿宋" w:hint="eastAsia"/>
        </w:rPr>
        <w:t>30.97</w:t>
      </w:r>
      <w:r w:rsidRPr="00872023">
        <w:rPr>
          <w:rFonts w:ascii="仿宋_GB2312" w:eastAsia="仿宋_GB2312" w:hAnsi="仿宋" w:cs="仿宋" w:hint="eastAsia"/>
        </w:rPr>
        <w:t>%</w:t>
      </w:r>
      <w:r>
        <w:rPr>
          <w:rFonts w:ascii="仿宋_GB2312" w:eastAsia="仿宋_GB2312" w:hAnsi="仿宋" w:cs="仿宋" w:hint="eastAsia"/>
        </w:rPr>
        <w:t>，同比下降5.74</w:t>
      </w:r>
      <w:r w:rsidRPr="00872023">
        <w:rPr>
          <w:rFonts w:ascii="仿宋_GB2312" w:eastAsia="仿宋_GB2312" w:hAnsi="仿宋" w:cs="仿宋" w:hint="eastAsia"/>
        </w:rPr>
        <w:t>个百分点。</w:t>
      </w:r>
    </w:p>
    <w:p w:rsidR="00544302" w:rsidRDefault="00544302" w:rsidP="00544302">
      <w:pPr>
        <w:snapToGrid w:val="0"/>
        <w:spacing w:line="360" w:lineRule="auto"/>
        <w:ind w:firstLineChars="200" w:firstLine="640"/>
        <w:textAlignment w:val="baseline"/>
        <w:rPr>
          <w:rFonts w:ascii="仿宋_GB2312" w:eastAsia="仿宋_GB2312" w:hAnsi="仿宋" w:cs="仿宋" w:hint="eastAsia"/>
        </w:rPr>
      </w:pPr>
      <w:r w:rsidRPr="00872023">
        <w:rPr>
          <w:rFonts w:ascii="仿宋_GB2312" w:eastAsia="仿宋_GB2312" w:hAnsi="仿宋" w:cs="仿宋" w:hint="eastAsia"/>
        </w:rPr>
        <w:lastRenderedPageBreak/>
        <w:t>减刑假释案件收案</w:t>
      </w:r>
      <w:r>
        <w:rPr>
          <w:rFonts w:ascii="仿宋_GB2312" w:eastAsia="仿宋_GB2312" w:hAnsi="仿宋" w:cs="仿宋" w:hint="eastAsia"/>
        </w:rPr>
        <w:t>1244</w:t>
      </w:r>
      <w:r w:rsidRPr="00872023">
        <w:rPr>
          <w:rFonts w:ascii="仿宋_GB2312" w:eastAsia="仿宋_GB2312" w:hAnsi="仿宋" w:cs="仿宋" w:hint="eastAsia"/>
        </w:rPr>
        <w:t>件，同比下降</w:t>
      </w:r>
      <w:r>
        <w:rPr>
          <w:rFonts w:ascii="仿宋_GB2312" w:eastAsia="仿宋_GB2312" w:hAnsi="仿宋" w:cs="仿宋" w:hint="eastAsia"/>
        </w:rPr>
        <w:t>33.12</w:t>
      </w:r>
      <w:r w:rsidRPr="00872023">
        <w:rPr>
          <w:rFonts w:ascii="仿宋_GB2312" w:eastAsia="仿宋_GB2312" w:hAnsi="仿宋" w:cs="仿宋" w:hint="eastAsia"/>
        </w:rPr>
        <w:t>%；结案</w:t>
      </w:r>
      <w:r>
        <w:rPr>
          <w:rFonts w:ascii="仿宋_GB2312" w:eastAsia="仿宋_GB2312" w:hAnsi="仿宋" w:cs="仿宋" w:hint="eastAsia"/>
        </w:rPr>
        <w:t>1118件，同比下降10.38</w:t>
      </w:r>
      <w:r w:rsidRPr="00872023">
        <w:rPr>
          <w:rFonts w:ascii="仿宋_GB2312" w:eastAsia="仿宋_GB2312" w:hAnsi="仿宋" w:cs="仿宋" w:hint="eastAsia"/>
        </w:rPr>
        <w:t>%；结案率</w:t>
      </w:r>
      <w:r>
        <w:rPr>
          <w:rFonts w:ascii="仿宋_GB2312" w:eastAsia="仿宋_GB2312" w:hAnsi="仿宋" w:cs="仿宋" w:hint="eastAsia"/>
        </w:rPr>
        <w:t>89.87</w:t>
      </w:r>
      <w:r w:rsidRPr="00872023">
        <w:rPr>
          <w:rFonts w:ascii="仿宋_GB2312" w:eastAsia="仿宋_GB2312" w:hAnsi="仿宋" w:cs="仿宋" w:hint="eastAsia"/>
        </w:rPr>
        <w:t>%，同比上升</w:t>
      </w:r>
      <w:r>
        <w:rPr>
          <w:rFonts w:ascii="仿宋_GB2312" w:eastAsia="仿宋_GB2312" w:hAnsi="仿宋" w:cs="仿宋" w:hint="eastAsia"/>
        </w:rPr>
        <w:t>15.35</w:t>
      </w:r>
      <w:r w:rsidRPr="00872023">
        <w:rPr>
          <w:rFonts w:ascii="仿宋_GB2312" w:eastAsia="仿宋_GB2312" w:hAnsi="仿宋" w:cs="仿宋" w:hint="eastAsia"/>
        </w:rPr>
        <w:t>个百分点。</w:t>
      </w:r>
    </w:p>
    <w:p w:rsidR="00544302" w:rsidRPr="00872023" w:rsidRDefault="00544302" w:rsidP="00544302">
      <w:pPr>
        <w:snapToGrid w:val="0"/>
        <w:spacing w:line="360" w:lineRule="auto"/>
        <w:ind w:firstLineChars="200" w:firstLine="640"/>
        <w:textAlignment w:val="baseline"/>
        <w:rPr>
          <w:rFonts w:ascii="仿宋_GB2312" w:eastAsia="仿宋_GB2312" w:hAnsi="仿宋" w:cs="仿宋" w:hint="eastAsia"/>
        </w:rPr>
      </w:pPr>
      <w:r>
        <w:rPr>
          <w:rFonts w:ascii="仿宋_GB2312" w:eastAsia="仿宋_GB2312" w:hAnsi="仿宋" w:cs="仿宋" w:hint="eastAsia"/>
        </w:rPr>
        <w:t>赔偿案件收案1件，同比减少80%；结案1件，同比减少70%；结案率100%，同比提高11.11个百分点。</w:t>
      </w:r>
    </w:p>
    <w:p w:rsidR="00544302" w:rsidRPr="00872023" w:rsidRDefault="00544302" w:rsidP="00544302">
      <w:pPr>
        <w:snapToGrid w:val="0"/>
        <w:spacing w:line="360" w:lineRule="auto"/>
        <w:ind w:firstLineChars="200" w:firstLine="640"/>
        <w:textAlignment w:val="baseline"/>
        <w:rPr>
          <w:rFonts w:ascii="仿宋_GB2312" w:eastAsia="仿宋_GB2312" w:hAnsi="仿宋" w:cs="仿宋" w:hint="eastAsia"/>
        </w:rPr>
      </w:pPr>
      <w:r w:rsidRPr="00872023">
        <w:rPr>
          <w:rFonts w:ascii="仿宋_GB2312" w:eastAsia="仿宋_GB2312" w:hAnsi="仿宋" w:cs="仿宋" w:hint="eastAsia"/>
        </w:rPr>
        <w:t>申诉、申请再审案件受理</w:t>
      </w:r>
      <w:r>
        <w:rPr>
          <w:rFonts w:ascii="仿宋_GB2312" w:eastAsia="仿宋_GB2312" w:hAnsi="仿宋" w:cs="仿宋" w:hint="eastAsia"/>
        </w:rPr>
        <w:t>254件，同比上升3.54</w:t>
      </w:r>
      <w:r w:rsidRPr="00872023">
        <w:rPr>
          <w:rFonts w:ascii="仿宋_GB2312" w:eastAsia="仿宋_GB2312" w:hAnsi="仿宋" w:cs="仿宋" w:hint="eastAsia"/>
        </w:rPr>
        <w:t>%，结案</w:t>
      </w:r>
      <w:r>
        <w:rPr>
          <w:rFonts w:ascii="仿宋_GB2312" w:eastAsia="仿宋_GB2312" w:hAnsi="仿宋" w:cs="仿宋" w:hint="eastAsia"/>
        </w:rPr>
        <w:t>182</w:t>
      </w:r>
      <w:r w:rsidRPr="00872023">
        <w:rPr>
          <w:rFonts w:ascii="仿宋_GB2312" w:eastAsia="仿宋_GB2312" w:hAnsi="仿宋" w:cs="仿宋" w:hint="eastAsia"/>
        </w:rPr>
        <w:t>件，同比下降</w:t>
      </w:r>
      <w:r>
        <w:rPr>
          <w:rFonts w:ascii="仿宋_GB2312" w:eastAsia="仿宋_GB2312" w:hAnsi="仿宋" w:cs="仿宋" w:hint="eastAsia"/>
        </w:rPr>
        <w:t>15.38</w:t>
      </w:r>
      <w:r w:rsidRPr="00872023">
        <w:rPr>
          <w:rFonts w:ascii="仿宋_GB2312" w:eastAsia="仿宋_GB2312" w:hAnsi="仿宋" w:cs="仿宋" w:hint="eastAsia"/>
        </w:rPr>
        <w:t>%，结案率</w:t>
      </w:r>
      <w:r>
        <w:rPr>
          <w:rFonts w:ascii="仿宋_GB2312" w:eastAsia="仿宋_GB2312" w:hAnsi="仿宋" w:cs="仿宋" w:hint="eastAsia"/>
        </w:rPr>
        <w:t>71.65</w:t>
      </w:r>
      <w:r w:rsidRPr="00872023">
        <w:rPr>
          <w:rFonts w:ascii="仿宋_GB2312" w:eastAsia="仿宋_GB2312" w:hAnsi="仿宋" w:cs="仿宋" w:hint="eastAsia"/>
        </w:rPr>
        <w:t>%，同比下降</w:t>
      </w:r>
      <w:r>
        <w:rPr>
          <w:rFonts w:ascii="仿宋_GB2312" w:eastAsia="仿宋_GB2312" w:hAnsi="仿宋" w:cs="仿宋" w:hint="eastAsia"/>
        </w:rPr>
        <w:t>14.06</w:t>
      </w:r>
      <w:r w:rsidRPr="00872023">
        <w:rPr>
          <w:rFonts w:ascii="仿宋_GB2312" w:eastAsia="仿宋_GB2312" w:hAnsi="仿宋" w:cs="仿宋" w:hint="eastAsia"/>
        </w:rPr>
        <w:t>个百分点。</w:t>
      </w:r>
    </w:p>
    <w:p w:rsidR="00544302" w:rsidRPr="00872023" w:rsidRDefault="00544302" w:rsidP="00544302">
      <w:pPr>
        <w:snapToGrid w:val="0"/>
        <w:spacing w:line="360" w:lineRule="auto"/>
        <w:ind w:firstLineChars="100" w:firstLine="320"/>
        <w:textAlignment w:val="baseline"/>
        <w:rPr>
          <w:rFonts w:ascii="仿宋_GB2312" w:eastAsia="仿宋_GB2312" w:hAnsi="仿宋" w:cs="仿宋" w:hint="eastAsia"/>
        </w:rPr>
      </w:pPr>
      <w:r w:rsidRPr="00872023">
        <w:rPr>
          <w:rFonts w:ascii="仿宋_GB2312" w:eastAsia="仿宋_GB2312" w:hAnsi="仿宋" w:cs="仿宋" w:hint="eastAsia"/>
        </w:rPr>
        <w:t xml:space="preserve">  未结案件</w:t>
      </w:r>
      <w:r>
        <w:rPr>
          <w:rFonts w:ascii="仿宋_GB2312" w:eastAsia="仿宋_GB2312" w:hAnsi="仿宋" w:cs="仿宋" w:hint="eastAsia"/>
        </w:rPr>
        <w:t>2088</w:t>
      </w:r>
      <w:r w:rsidRPr="00872023">
        <w:rPr>
          <w:rFonts w:ascii="仿宋_GB2312" w:eastAsia="仿宋_GB2312" w:hAnsi="仿宋" w:cs="仿宋" w:hint="eastAsia"/>
        </w:rPr>
        <w:t>件，其中，刑事案件未结</w:t>
      </w:r>
      <w:r>
        <w:rPr>
          <w:rFonts w:ascii="仿宋_GB2312" w:eastAsia="仿宋_GB2312" w:hAnsi="仿宋" w:cs="仿宋" w:hint="eastAsia"/>
        </w:rPr>
        <w:t>252</w:t>
      </w:r>
      <w:r w:rsidRPr="00872023">
        <w:rPr>
          <w:rFonts w:ascii="仿宋_GB2312" w:eastAsia="仿宋_GB2312" w:hAnsi="仿宋" w:cs="仿宋" w:hint="eastAsia"/>
        </w:rPr>
        <w:t>件</w:t>
      </w:r>
      <w:r>
        <w:rPr>
          <w:rFonts w:ascii="仿宋_GB2312" w:eastAsia="仿宋_GB2312" w:hAnsi="仿宋" w:cs="仿宋" w:hint="eastAsia"/>
        </w:rPr>
        <w:t>（其中</w:t>
      </w:r>
      <w:r w:rsidRPr="00872023">
        <w:rPr>
          <w:rFonts w:ascii="仿宋_GB2312" w:eastAsia="仿宋_GB2312" w:hAnsi="仿宋" w:cs="仿宋" w:hint="eastAsia"/>
        </w:rPr>
        <w:t>减刑假释未结</w:t>
      </w:r>
      <w:r>
        <w:rPr>
          <w:rFonts w:ascii="仿宋_GB2312" w:eastAsia="仿宋_GB2312" w:hAnsi="仿宋" w:cs="仿宋" w:hint="eastAsia"/>
        </w:rPr>
        <w:t>126</w:t>
      </w:r>
      <w:r w:rsidRPr="00872023">
        <w:rPr>
          <w:rFonts w:ascii="仿宋_GB2312" w:eastAsia="仿宋_GB2312" w:hAnsi="仿宋" w:cs="仿宋" w:hint="eastAsia"/>
        </w:rPr>
        <w:t>件</w:t>
      </w:r>
      <w:r>
        <w:rPr>
          <w:rFonts w:ascii="仿宋_GB2312" w:eastAsia="仿宋_GB2312" w:hAnsi="仿宋" w:cs="仿宋" w:hint="eastAsia"/>
        </w:rPr>
        <w:t>）</w:t>
      </w:r>
      <w:r w:rsidRPr="00872023">
        <w:rPr>
          <w:rFonts w:ascii="仿宋_GB2312" w:eastAsia="仿宋_GB2312" w:hAnsi="仿宋" w:cs="仿宋" w:hint="eastAsia"/>
        </w:rPr>
        <w:t>，民事案件未结</w:t>
      </w:r>
      <w:r>
        <w:rPr>
          <w:rFonts w:ascii="仿宋_GB2312" w:eastAsia="仿宋_GB2312" w:hAnsi="仿宋" w:cs="仿宋" w:hint="eastAsia"/>
        </w:rPr>
        <w:t>1218</w:t>
      </w:r>
      <w:r w:rsidRPr="00872023">
        <w:rPr>
          <w:rFonts w:ascii="仿宋_GB2312" w:eastAsia="仿宋_GB2312" w:hAnsi="仿宋" w:cs="仿宋" w:hint="eastAsia"/>
        </w:rPr>
        <w:t>件，行政案件未结</w:t>
      </w:r>
      <w:r>
        <w:rPr>
          <w:rFonts w:ascii="仿宋_GB2312" w:eastAsia="仿宋_GB2312" w:hAnsi="仿宋" w:cs="仿宋" w:hint="eastAsia"/>
        </w:rPr>
        <w:t>107</w:t>
      </w:r>
      <w:r w:rsidRPr="00872023">
        <w:rPr>
          <w:rFonts w:ascii="仿宋_GB2312" w:eastAsia="仿宋_GB2312" w:hAnsi="仿宋" w:cs="仿宋" w:hint="eastAsia"/>
        </w:rPr>
        <w:t>件，执行案件未结</w:t>
      </w:r>
      <w:r>
        <w:rPr>
          <w:rFonts w:ascii="仿宋_GB2312" w:eastAsia="仿宋_GB2312" w:hAnsi="仿宋" w:cs="仿宋" w:hint="eastAsia"/>
        </w:rPr>
        <w:t>439</w:t>
      </w:r>
      <w:r w:rsidRPr="00872023">
        <w:rPr>
          <w:rFonts w:ascii="仿宋_GB2312" w:eastAsia="仿宋_GB2312" w:hAnsi="仿宋" w:cs="仿宋" w:hint="eastAsia"/>
        </w:rPr>
        <w:t>件，申诉、申请案件未结</w:t>
      </w:r>
      <w:r>
        <w:rPr>
          <w:rFonts w:ascii="仿宋_GB2312" w:eastAsia="仿宋_GB2312" w:hAnsi="仿宋" w:cs="仿宋" w:hint="eastAsia"/>
        </w:rPr>
        <w:t>72件</w:t>
      </w:r>
      <w:r w:rsidRPr="00872023">
        <w:rPr>
          <w:rFonts w:ascii="仿宋_GB2312" w:eastAsia="仿宋_GB2312" w:hAnsi="仿宋" w:cs="仿宋" w:hint="eastAsia"/>
        </w:rPr>
        <w:t>。</w:t>
      </w:r>
    </w:p>
    <w:p w:rsidR="00544302" w:rsidRPr="00872023" w:rsidRDefault="00544302" w:rsidP="00544302">
      <w:pPr>
        <w:snapToGrid w:val="0"/>
        <w:spacing w:line="360" w:lineRule="auto"/>
        <w:ind w:firstLineChars="100" w:firstLine="321"/>
        <w:jc w:val="center"/>
        <w:textAlignment w:val="baseline"/>
        <w:rPr>
          <w:rFonts w:ascii="仿宋_GB2312" w:eastAsia="仿宋_GB2312" w:hint="eastAsia"/>
          <w:b/>
        </w:rPr>
      </w:pPr>
      <w:r w:rsidRPr="00872023">
        <w:rPr>
          <w:rFonts w:ascii="仿宋_GB2312" w:eastAsia="仿宋_GB2312" w:hint="eastAsia"/>
          <w:b/>
        </w:rPr>
        <w:t>全院受理案件构成情况对比图</w:t>
      </w:r>
    </w:p>
    <w:p w:rsidR="00544302" w:rsidRPr="00872023" w:rsidRDefault="00544302" w:rsidP="00544302">
      <w:pPr>
        <w:snapToGrid w:val="0"/>
        <w:spacing w:line="360" w:lineRule="auto"/>
        <w:ind w:firstLineChars="100" w:firstLine="321"/>
        <w:jc w:val="center"/>
        <w:textAlignment w:val="baseline"/>
        <w:rPr>
          <w:rFonts w:ascii="仿宋_GB2312" w:eastAsia="仿宋_GB2312" w:hint="eastAsia"/>
          <w:b/>
        </w:rPr>
      </w:pPr>
      <w:r>
        <w:rPr>
          <w:rFonts w:ascii="仿宋_GB2312" w:eastAsia="仿宋_GB2312"/>
          <w:b/>
          <w:noProof/>
        </w:rPr>
        <w:lastRenderedPageBreak/>
        <w:drawing>
          <wp:inline distT="0" distB="0" distL="0" distR="0">
            <wp:extent cx="4866861" cy="3793342"/>
            <wp:effectExtent l="12976" t="7133" r="6488" b="0"/>
            <wp:docPr id="2" name="图表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44302" w:rsidRDefault="00544302" w:rsidP="00544302">
      <w:pPr>
        <w:snapToGrid w:val="0"/>
        <w:spacing w:line="360" w:lineRule="auto"/>
        <w:ind w:firstLine="588"/>
        <w:jc w:val="left"/>
        <w:rPr>
          <w:rFonts w:ascii="仿宋_GB2312" w:eastAsia="仿宋_GB2312" w:hAnsi="仿宋" w:cs="仿宋" w:hint="eastAsia"/>
          <w:b/>
        </w:rPr>
      </w:pPr>
      <w:r w:rsidRPr="00872023">
        <w:rPr>
          <w:rFonts w:ascii="仿宋_GB2312" w:eastAsia="仿宋_GB2312" w:hAnsi="仿宋" w:cs="仿宋" w:hint="eastAsia"/>
          <w:b/>
        </w:rPr>
        <w:t>2、各庭室收结案情况</w:t>
      </w:r>
    </w:p>
    <w:p w:rsidR="00544302" w:rsidRPr="0009602B" w:rsidRDefault="00544302" w:rsidP="00544302">
      <w:pPr>
        <w:snapToGrid w:val="0"/>
        <w:spacing w:line="360" w:lineRule="auto"/>
        <w:ind w:firstLine="588"/>
        <w:jc w:val="left"/>
        <w:rPr>
          <w:rFonts w:ascii="仿宋_GB2312" w:eastAsia="仿宋_GB2312" w:hAnsi="仿宋" w:cs="仿宋" w:hint="eastAsia"/>
        </w:rPr>
      </w:pPr>
      <w:r>
        <w:rPr>
          <w:rFonts w:ascii="仿宋_GB2312" w:eastAsia="仿宋_GB2312" w:hAnsi="仿宋" w:cs="仿宋" w:hint="eastAsia"/>
          <w:b/>
        </w:rPr>
        <w:t xml:space="preserve">    </w:t>
      </w:r>
      <w:r>
        <w:rPr>
          <w:rFonts w:ascii="仿宋_GB2312" w:eastAsia="仿宋_GB2312" w:hAnsi="仿宋" w:cs="仿宋" w:hint="eastAsia"/>
        </w:rPr>
        <w:t>2015年上半年，中院整体收案数比去年同期增加728件，上升12.53%。其中，增幅较大的为行政庭，比去年同期增加98件，上升51.58%。</w:t>
      </w:r>
    </w:p>
    <w:p w:rsidR="00544302" w:rsidRDefault="00544302" w:rsidP="00544302">
      <w:pPr>
        <w:snapToGrid w:val="0"/>
        <w:spacing w:line="360" w:lineRule="auto"/>
        <w:jc w:val="center"/>
        <w:rPr>
          <w:rFonts w:ascii="仿宋_GB2312" w:eastAsia="仿宋_GB2312" w:hAnsi="仿宋" w:hint="eastAsia"/>
        </w:rPr>
      </w:pPr>
      <w:r w:rsidRPr="00872023">
        <w:rPr>
          <w:rFonts w:ascii="方正小标宋_GBK" w:eastAsia="方正小标宋_GBK" w:hAnsi="仿宋" w:hint="eastAsia"/>
        </w:rPr>
        <w:t>各审</w:t>
      </w:r>
      <w:proofErr w:type="gramStart"/>
      <w:r w:rsidRPr="00872023">
        <w:rPr>
          <w:rFonts w:ascii="方正小标宋_GBK" w:eastAsia="方正小标宋_GBK" w:hAnsi="仿宋" w:hint="eastAsia"/>
        </w:rPr>
        <w:t>执部门</w:t>
      </w:r>
      <w:proofErr w:type="gramEnd"/>
      <w:r w:rsidRPr="00872023">
        <w:rPr>
          <w:rFonts w:ascii="方正小标宋_GBK" w:eastAsia="方正小标宋_GBK" w:hAnsi="仿宋" w:hint="eastAsia"/>
        </w:rPr>
        <w:t>审理情况统计表（表一）</w:t>
      </w:r>
    </w:p>
    <w:p w:rsidR="00544302" w:rsidRPr="002175A1" w:rsidRDefault="00544302" w:rsidP="00544302">
      <w:pPr>
        <w:snapToGrid w:val="0"/>
        <w:spacing w:line="360" w:lineRule="auto"/>
        <w:rPr>
          <w:rFonts w:ascii="仿宋_GB2312" w:eastAsia="仿宋_GB2312" w:hAnsi="仿宋" w:hint="eastAsia"/>
        </w:rPr>
      </w:pPr>
      <w:r>
        <w:rPr>
          <w:rFonts w:ascii="仿宋_GB2312" w:eastAsia="仿宋_GB2312" w:hAnsi="仿宋" w:hint="eastAsia"/>
        </w:rPr>
        <w:t xml:space="preserve">    </w:t>
      </w:r>
    </w:p>
    <w:tbl>
      <w:tblPr>
        <w:tblW w:w="0" w:type="auto"/>
        <w:jc w:val="right"/>
        <w:tblLayout w:type="fixed"/>
        <w:tblLook w:val="0000"/>
      </w:tblPr>
      <w:tblGrid>
        <w:gridCol w:w="503"/>
        <w:gridCol w:w="1315"/>
        <w:gridCol w:w="670"/>
        <w:gridCol w:w="992"/>
        <w:gridCol w:w="889"/>
        <w:gridCol w:w="992"/>
        <w:gridCol w:w="993"/>
        <w:gridCol w:w="1506"/>
        <w:gridCol w:w="588"/>
      </w:tblGrid>
      <w:tr w:rsidR="00544302" w:rsidRPr="00872023" w:rsidTr="00FC621E">
        <w:trPr>
          <w:gridAfter w:val="1"/>
          <w:wAfter w:w="588" w:type="dxa"/>
          <w:trHeight w:val="360"/>
          <w:jc w:val="righ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Pr="00872023" w:rsidRDefault="00544302" w:rsidP="00FC621E">
            <w:pPr>
              <w:widowControl/>
              <w:jc w:val="center"/>
              <w:rPr>
                <w:rFonts w:ascii="宋体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872023">
              <w:rPr>
                <w:rFonts w:ascii="宋体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Pr="00872023" w:rsidRDefault="00544302" w:rsidP="00FC621E">
            <w:pPr>
              <w:widowControl/>
              <w:jc w:val="center"/>
              <w:rPr>
                <w:rFonts w:ascii="宋体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872023">
              <w:rPr>
                <w:rFonts w:ascii="宋体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t>庭室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Pr="00872023" w:rsidRDefault="00544302" w:rsidP="00FC621E">
            <w:pPr>
              <w:widowControl/>
              <w:jc w:val="center"/>
              <w:rPr>
                <w:rFonts w:ascii="宋体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872023">
              <w:rPr>
                <w:rFonts w:ascii="宋体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t>受理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4302" w:rsidRPr="00872023" w:rsidRDefault="00544302" w:rsidP="00FC621E">
            <w:pPr>
              <w:widowControl/>
              <w:jc w:val="center"/>
              <w:rPr>
                <w:rFonts w:ascii="宋体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872023">
              <w:rPr>
                <w:rFonts w:ascii="宋体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t>同比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Pr="00872023" w:rsidRDefault="00544302" w:rsidP="00FC621E">
            <w:pPr>
              <w:widowControl/>
              <w:jc w:val="center"/>
              <w:rPr>
                <w:rFonts w:ascii="宋体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872023">
              <w:rPr>
                <w:rFonts w:ascii="宋体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t>结案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302" w:rsidRPr="00872023" w:rsidRDefault="00544302" w:rsidP="00FC621E">
            <w:pPr>
              <w:widowControl/>
              <w:jc w:val="center"/>
              <w:rPr>
                <w:rFonts w:ascii="宋体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872023">
              <w:rPr>
                <w:rFonts w:ascii="宋体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t>同比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02" w:rsidRPr="00872023" w:rsidRDefault="00544302" w:rsidP="00FC621E">
            <w:pPr>
              <w:widowControl/>
              <w:jc w:val="center"/>
              <w:rPr>
                <w:rFonts w:ascii="宋体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872023">
              <w:rPr>
                <w:rFonts w:ascii="宋体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t>结案率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44302" w:rsidRPr="00872023" w:rsidRDefault="00544302" w:rsidP="00FC621E">
            <w:pPr>
              <w:widowControl/>
              <w:jc w:val="left"/>
              <w:rPr>
                <w:rFonts w:ascii="宋体" w:hAnsi="宋体" w:cs="Arial" w:hint="eastAsia"/>
                <w:kern w:val="0"/>
                <w:sz w:val="21"/>
                <w:szCs w:val="21"/>
              </w:rPr>
            </w:pPr>
            <w:r w:rsidRPr="00872023">
              <w:rPr>
                <w:rFonts w:ascii="宋体" w:hAnsi="宋体" w:cs="Arial" w:hint="eastAsia"/>
                <w:kern w:val="0"/>
                <w:sz w:val="21"/>
                <w:szCs w:val="21"/>
              </w:rPr>
              <w:t>同比（百分点）</w:t>
            </w:r>
          </w:p>
        </w:tc>
      </w:tr>
      <w:tr w:rsidR="00544302" w:rsidRPr="00872023" w:rsidTr="00FC621E">
        <w:trPr>
          <w:gridAfter w:val="1"/>
          <w:wAfter w:w="588" w:type="dxa"/>
          <w:trHeight w:val="345"/>
          <w:jc w:val="right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Pr="00872023" w:rsidRDefault="00544302" w:rsidP="00FC621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Pr="00872023" w:rsidRDefault="00544302" w:rsidP="00FC621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</w:pPr>
            <w:r w:rsidRPr="00872023"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  <w:t>立案一庭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Pr="00872023" w:rsidRDefault="00544302" w:rsidP="00FC621E">
            <w:pPr>
              <w:widowControl/>
              <w:jc w:val="right"/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44302" w:rsidRDefault="00544302" w:rsidP="00FC621E">
            <w:pPr>
              <w:jc w:val="right"/>
              <w:rPr>
                <w:rFonts w:ascii="宋体" w:hAnsi="宋体" w:cs="Arial"/>
                <w:color w:val="000000"/>
                <w:sz w:val="21"/>
                <w:szCs w:val="21"/>
              </w:rPr>
            </w:pPr>
            <w:r>
              <w:rPr>
                <w:rFonts w:cs="Arial" w:hint="eastAsia"/>
                <w:color w:val="000000"/>
                <w:sz w:val="21"/>
                <w:szCs w:val="21"/>
              </w:rPr>
              <w:t>27.5%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Default="00544302" w:rsidP="00FC62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44302" w:rsidRDefault="00544302" w:rsidP="00FC621E">
            <w:pPr>
              <w:jc w:val="right"/>
              <w:rPr>
                <w:rFonts w:ascii="宋体" w:hAnsi="宋体" w:cs="Arial"/>
                <w:color w:val="000000"/>
                <w:sz w:val="21"/>
                <w:szCs w:val="21"/>
              </w:rPr>
            </w:pPr>
            <w:r>
              <w:rPr>
                <w:rFonts w:cs="Arial" w:hint="eastAsia"/>
                <w:color w:val="000000"/>
                <w:sz w:val="21"/>
                <w:szCs w:val="21"/>
              </w:rPr>
              <w:t>6.96%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02" w:rsidRDefault="00544302" w:rsidP="00FC62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71.88%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44302" w:rsidRDefault="00544302" w:rsidP="00FC621E">
            <w:pPr>
              <w:jc w:val="right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cs="Arial" w:hint="eastAsia"/>
                <w:sz w:val="21"/>
                <w:szCs w:val="21"/>
              </w:rPr>
              <w:t>-20.36</w:t>
            </w:r>
          </w:p>
        </w:tc>
      </w:tr>
      <w:tr w:rsidR="00544302" w:rsidRPr="00872023" w:rsidTr="00FC621E">
        <w:trPr>
          <w:gridAfter w:val="1"/>
          <w:wAfter w:w="588" w:type="dxa"/>
          <w:trHeight w:val="345"/>
          <w:jc w:val="right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Pr="00872023" w:rsidRDefault="00544302" w:rsidP="00FC621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Pr="00872023" w:rsidRDefault="00544302" w:rsidP="00FC621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872023"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  <w:t>刑</w:t>
            </w:r>
            <w:proofErr w:type="gramEnd"/>
            <w:r w:rsidRPr="00872023"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  <w:t>一庭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Pr="00872023" w:rsidRDefault="00544302" w:rsidP="00FC621E">
            <w:pPr>
              <w:widowControl/>
              <w:jc w:val="right"/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44302" w:rsidRDefault="00544302" w:rsidP="00FC621E">
            <w:pPr>
              <w:jc w:val="right"/>
              <w:rPr>
                <w:rFonts w:ascii="宋体" w:hAnsi="宋体" w:cs="Arial"/>
                <w:color w:val="000000"/>
                <w:sz w:val="21"/>
                <w:szCs w:val="21"/>
              </w:rPr>
            </w:pPr>
            <w:r>
              <w:rPr>
                <w:rFonts w:cs="Arial" w:hint="eastAsia"/>
                <w:color w:val="000000"/>
                <w:sz w:val="21"/>
                <w:szCs w:val="21"/>
              </w:rPr>
              <w:t>-20.88%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Default="00544302" w:rsidP="00FC62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44302" w:rsidRDefault="00544302" w:rsidP="00FC621E">
            <w:pPr>
              <w:jc w:val="right"/>
              <w:rPr>
                <w:rFonts w:ascii="宋体" w:hAnsi="宋体" w:cs="Arial"/>
                <w:color w:val="000000"/>
                <w:sz w:val="21"/>
                <w:szCs w:val="21"/>
              </w:rPr>
            </w:pPr>
            <w:r>
              <w:rPr>
                <w:rFonts w:cs="Arial" w:hint="eastAsia"/>
                <w:color w:val="000000"/>
                <w:sz w:val="21"/>
                <w:szCs w:val="21"/>
              </w:rPr>
              <w:t>-45.65%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02" w:rsidRDefault="00544302" w:rsidP="00FC62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50.55%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44302" w:rsidRDefault="00544302" w:rsidP="00FC621E">
            <w:pPr>
              <w:jc w:val="right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cs="Arial" w:hint="eastAsia"/>
                <w:sz w:val="21"/>
                <w:szCs w:val="21"/>
              </w:rPr>
              <w:t>-10.36</w:t>
            </w:r>
          </w:p>
        </w:tc>
      </w:tr>
      <w:tr w:rsidR="00544302" w:rsidRPr="00872023" w:rsidTr="00FC621E">
        <w:trPr>
          <w:gridAfter w:val="1"/>
          <w:wAfter w:w="588" w:type="dxa"/>
          <w:trHeight w:val="345"/>
          <w:jc w:val="right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Pr="00872023" w:rsidRDefault="00544302" w:rsidP="00FC621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Pr="00872023" w:rsidRDefault="00544302" w:rsidP="00FC621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</w:pPr>
            <w:r w:rsidRPr="00872023"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  <w:t>刑二庭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Pr="00872023" w:rsidRDefault="00544302" w:rsidP="00FC621E">
            <w:pPr>
              <w:widowControl/>
              <w:jc w:val="right"/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44302" w:rsidRDefault="00544302" w:rsidP="00FC621E">
            <w:pPr>
              <w:jc w:val="right"/>
              <w:rPr>
                <w:rFonts w:ascii="宋体" w:hAnsi="宋体" w:cs="Arial"/>
                <w:color w:val="000000"/>
                <w:sz w:val="21"/>
                <w:szCs w:val="21"/>
              </w:rPr>
            </w:pPr>
            <w:r>
              <w:rPr>
                <w:rFonts w:cs="Arial" w:hint="eastAsia"/>
                <w:color w:val="000000"/>
                <w:sz w:val="21"/>
                <w:szCs w:val="21"/>
              </w:rPr>
              <w:t>28.82%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Default="00544302" w:rsidP="00FC62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44302" w:rsidRDefault="00544302" w:rsidP="00FC621E">
            <w:pPr>
              <w:jc w:val="right"/>
              <w:rPr>
                <w:rFonts w:ascii="宋体" w:hAnsi="宋体" w:cs="Arial"/>
                <w:color w:val="000000"/>
                <w:sz w:val="21"/>
                <w:szCs w:val="21"/>
              </w:rPr>
            </w:pPr>
            <w:r>
              <w:rPr>
                <w:rFonts w:cs="Arial" w:hint="eastAsia"/>
                <w:color w:val="000000"/>
                <w:sz w:val="21"/>
                <w:szCs w:val="21"/>
              </w:rPr>
              <w:t>30.95%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02" w:rsidRDefault="00544302" w:rsidP="00FC62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72.92%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44302" w:rsidRDefault="00544302" w:rsidP="00FC621E">
            <w:pPr>
              <w:jc w:val="right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cs="Arial" w:hint="eastAsia"/>
                <w:sz w:val="21"/>
                <w:szCs w:val="21"/>
              </w:rPr>
              <w:t>2.19</w:t>
            </w:r>
          </w:p>
        </w:tc>
      </w:tr>
      <w:tr w:rsidR="00544302" w:rsidRPr="00872023" w:rsidTr="00FC621E">
        <w:trPr>
          <w:gridAfter w:val="1"/>
          <w:wAfter w:w="588" w:type="dxa"/>
          <w:trHeight w:val="345"/>
          <w:jc w:val="right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Pr="00872023" w:rsidRDefault="00544302" w:rsidP="00FC621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</w:pPr>
            <w:r w:rsidRPr="00872023"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Pr="00872023" w:rsidRDefault="00544302" w:rsidP="00FC621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</w:pPr>
            <w:r w:rsidRPr="00872023"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  <w:t>民一庭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Pr="00872023" w:rsidRDefault="00544302" w:rsidP="00FC621E">
            <w:pPr>
              <w:widowControl/>
              <w:jc w:val="right"/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44302" w:rsidRDefault="00544302" w:rsidP="00FC621E">
            <w:pPr>
              <w:jc w:val="right"/>
              <w:rPr>
                <w:rFonts w:ascii="宋体" w:hAnsi="宋体" w:cs="Arial"/>
                <w:color w:val="000000"/>
                <w:sz w:val="21"/>
                <w:szCs w:val="21"/>
              </w:rPr>
            </w:pPr>
            <w:r>
              <w:rPr>
                <w:rFonts w:cs="Arial" w:hint="eastAsia"/>
                <w:color w:val="000000"/>
                <w:sz w:val="21"/>
                <w:szCs w:val="21"/>
              </w:rPr>
              <w:t>30.63%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Default="00544302" w:rsidP="00FC62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44302" w:rsidRDefault="00544302" w:rsidP="00FC621E">
            <w:pPr>
              <w:jc w:val="right"/>
              <w:rPr>
                <w:rFonts w:ascii="宋体" w:hAnsi="宋体" w:cs="Arial"/>
                <w:color w:val="000000"/>
                <w:sz w:val="21"/>
                <w:szCs w:val="21"/>
              </w:rPr>
            </w:pPr>
            <w:r>
              <w:rPr>
                <w:rFonts w:cs="Arial" w:hint="eastAsia"/>
                <w:color w:val="000000"/>
                <w:sz w:val="21"/>
                <w:szCs w:val="21"/>
              </w:rPr>
              <w:t>3.68%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02" w:rsidRDefault="00544302" w:rsidP="00FC62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42.79%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44302" w:rsidRDefault="00544302" w:rsidP="00FC621E">
            <w:pPr>
              <w:jc w:val="right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cs="Arial" w:hint="eastAsia"/>
                <w:sz w:val="21"/>
                <w:szCs w:val="21"/>
              </w:rPr>
              <w:t>-16.63</w:t>
            </w:r>
          </w:p>
        </w:tc>
      </w:tr>
      <w:tr w:rsidR="00544302" w:rsidRPr="00872023" w:rsidTr="00FC621E">
        <w:trPr>
          <w:gridAfter w:val="1"/>
          <w:wAfter w:w="588" w:type="dxa"/>
          <w:trHeight w:val="345"/>
          <w:jc w:val="right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Pr="00872023" w:rsidRDefault="00544302" w:rsidP="00FC621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</w:pPr>
            <w:r w:rsidRPr="00872023"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Pr="00872023" w:rsidRDefault="00544302" w:rsidP="00FC621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</w:pPr>
            <w:r w:rsidRPr="00872023"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  <w:t>民二庭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Pr="00872023" w:rsidRDefault="00544302" w:rsidP="00FC621E">
            <w:pPr>
              <w:widowControl/>
              <w:jc w:val="right"/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44302" w:rsidRDefault="00544302" w:rsidP="00FC621E">
            <w:pPr>
              <w:jc w:val="right"/>
              <w:rPr>
                <w:rFonts w:ascii="宋体" w:hAnsi="宋体" w:cs="Arial"/>
                <w:color w:val="000000"/>
                <w:sz w:val="21"/>
                <w:szCs w:val="21"/>
              </w:rPr>
            </w:pPr>
            <w:r>
              <w:rPr>
                <w:rFonts w:cs="Arial" w:hint="eastAsia"/>
                <w:color w:val="000000"/>
                <w:sz w:val="21"/>
                <w:szCs w:val="21"/>
              </w:rPr>
              <w:t>27.06%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Default="00544302" w:rsidP="00FC62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44302" w:rsidRDefault="00544302" w:rsidP="00FC621E">
            <w:pPr>
              <w:jc w:val="right"/>
              <w:rPr>
                <w:rFonts w:ascii="宋体" w:hAnsi="宋体" w:cs="Arial"/>
                <w:color w:val="000000"/>
                <w:sz w:val="21"/>
                <w:szCs w:val="21"/>
              </w:rPr>
            </w:pPr>
            <w:r>
              <w:rPr>
                <w:rFonts w:cs="Arial" w:hint="eastAsia"/>
                <w:color w:val="000000"/>
                <w:sz w:val="21"/>
                <w:szCs w:val="21"/>
              </w:rPr>
              <w:t>32.66%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02" w:rsidRDefault="00544302" w:rsidP="00FC62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74.17%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44302" w:rsidRDefault="00544302" w:rsidP="00FC621E">
            <w:pPr>
              <w:jc w:val="right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cs="Arial" w:hint="eastAsia"/>
                <w:sz w:val="21"/>
                <w:szCs w:val="21"/>
              </w:rPr>
              <w:t>5.7</w:t>
            </w:r>
          </w:p>
        </w:tc>
      </w:tr>
      <w:tr w:rsidR="00544302" w:rsidRPr="00872023" w:rsidTr="00FC621E">
        <w:trPr>
          <w:gridAfter w:val="1"/>
          <w:wAfter w:w="588" w:type="dxa"/>
          <w:trHeight w:val="345"/>
          <w:jc w:val="right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Pr="00872023" w:rsidRDefault="00544302" w:rsidP="00FC621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Pr="00872023" w:rsidRDefault="00544302" w:rsidP="00FC621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</w:pPr>
            <w:r w:rsidRPr="00872023"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  <w:t>民三庭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Pr="00872023" w:rsidRDefault="00544302" w:rsidP="00FC621E">
            <w:pPr>
              <w:widowControl/>
              <w:jc w:val="right"/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44302" w:rsidRDefault="00544302" w:rsidP="00FC621E">
            <w:pPr>
              <w:jc w:val="right"/>
              <w:rPr>
                <w:rFonts w:ascii="宋体" w:hAnsi="宋体" w:cs="Arial"/>
                <w:color w:val="000000"/>
                <w:sz w:val="21"/>
                <w:szCs w:val="21"/>
              </w:rPr>
            </w:pPr>
            <w:r>
              <w:rPr>
                <w:rFonts w:cs="Arial" w:hint="eastAsia"/>
                <w:color w:val="000000"/>
                <w:sz w:val="21"/>
                <w:szCs w:val="21"/>
              </w:rPr>
              <w:t>27.54%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Default="00544302" w:rsidP="00FC62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44302" w:rsidRDefault="00544302" w:rsidP="00FC621E">
            <w:pPr>
              <w:jc w:val="right"/>
              <w:rPr>
                <w:rFonts w:ascii="宋体" w:hAnsi="宋体" w:cs="Arial"/>
                <w:color w:val="000000"/>
                <w:sz w:val="21"/>
                <w:szCs w:val="21"/>
              </w:rPr>
            </w:pPr>
            <w:r>
              <w:rPr>
                <w:rFonts w:cs="Arial" w:hint="eastAsia"/>
                <w:color w:val="000000"/>
                <w:sz w:val="21"/>
                <w:szCs w:val="21"/>
              </w:rPr>
              <w:t>61.03%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02" w:rsidRDefault="00544302" w:rsidP="00FC62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51.45%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44302" w:rsidRDefault="00544302" w:rsidP="00FC621E">
            <w:pPr>
              <w:jc w:val="right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cs="Arial" w:hint="eastAsia"/>
                <w:sz w:val="21"/>
                <w:szCs w:val="21"/>
              </w:rPr>
              <w:t>23.78</w:t>
            </w:r>
          </w:p>
        </w:tc>
      </w:tr>
      <w:tr w:rsidR="00544302" w:rsidRPr="00872023" w:rsidTr="00FC621E">
        <w:trPr>
          <w:gridAfter w:val="1"/>
          <w:wAfter w:w="588" w:type="dxa"/>
          <w:trHeight w:val="345"/>
          <w:jc w:val="right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Pr="00872023" w:rsidRDefault="00544302" w:rsidP="00FC621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Pr="00872023" w:rsidRDefault="00544302" w:rsidP="00FC621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872023"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  <w:t>民四庭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Pr="00872023" w:rsidRDefault="00544302" w:rsidP="00FC621E">
            <w:pPr>
              <w:widowControl/>
              <w:jc w:val="right"/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44302" w:rsidRDefault="00544302" w:rsidP="00FC621E">
            <w:pPr>
              <w:jc w:val="right"/>
              <w:rPr>
                <w:rFonts w:ascii="宋体" w:hAnsi="宋体" w:cs="Arial"/>
                <w:color w:val="000000"/>
                <w:sz w:val="21"/>
                <w:szCs w:val="21"/>
              </w:rPr>
            </w:pPr>
            <w:r>
              <w:rPr>
                <w:rFonts w:cs="Arial" w:hint="eastAsia"/>
                <w:color w:val="000000"/>
                <w:sz w:val="21"/>
                <w:szCs w:val="21"/>
              </w:rPr>
              <w:t>38.67%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Default="00544302" w:rsidP="00FC62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44302" w:rsidRDefault="00544302" w:rsidP="00FC621E">
            <w:pPr>
              <w:jc w:val="right"/>
              <w:rPr>
                <w:rFonts w:ascii="宋体" w:hAnsi="宋体" w:cs="Arial"/>
                <w:color w:val="000000"/>
                <w:sz w:val="21"/>
                <w:szCs w:val="21"/>
              </w:rPr>
            </w:pPr>
            <w:r>
              <w:rPr>
                <w:rFonts w:cs="Arial" w:hint="eastAsia"/>
                <w:color w:val="000000"/>
                <w:sz w:val="21"/>
                <w:szCs w:val="21"/>
              </w:rPr>
              <w:t>28.74%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02" w:rsidRDefault="00544302" w:rsidP="00FC62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58.00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44302" w:rsidRDefault="00544302" w:rsidP="00FC621E">
            <w:pPr>
              <w:jc w:val="right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cs="Arial" w:hint="eastAsia"/>
                <w:sz w:val="21"/>
                <w:szCs w:val="21"/>
              </w:rPr>
              <w:t>-9.38</w:t>
            </w:r>
          </w:p>
        </w:tc>
      </w:tr>
      <w:tr w:rsidR="00544302" w:rsidRPr="00872023" w:rsidTr="00FC621E">
        <w:trPr>
          <w:gridAfter w:val="1"/>
          <w:wAfter w:w="588" w:type="dxa"/>
          <w:trHeight w:val="345"/>
          <w:jc w:val="right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Pr="00872023" w:rsidRDefault="00544302" w:rsidP="00FC621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Pr="00872023" w:rsidRDefault="00544302" w:rsidP="00FC621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</w:pPr>
            <w:r w:rsidRPr="00872023"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  <w:t>民五庭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Pr="00872023" w:rsidRDefault="00544302" w:rsidP="00FC621E">
            <w:pPr>
              <w:widowControl/>
              <w:jc w:val="right"/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  <w:t>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44302" w:rsidRDefault="00544302" w:rsidP="00FC621E">
            <w:pPr>
              <w:jc w:val="right"/>
              <w:rPr>
                <w:rFonts w:ascii="宋体" w:hAnsi="宋体" w:cs="Arial"/>
                <w:color w:val="000000"/>
                <w:sz w:val="21"/>
                <w:szCs w:val="21"/>
              </w:rPr>
            </w:pPr>
            <w:r>
              <w:rPr>
                <w:rFonts w:cs="Arial" w:hint="eastAsia"/>
                <w:color w:val="000000"/>
                <w:sz w:val="21"/>
                <w:szCs w:val="21"/>
              </w:rPr>
              <w:t>9.86%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Default="00544302" w:rsidP="00FC62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44302" w:rsidRDefault="00544302" w:rsidP="00FC621E">
            <w:pPr>
              <w:jc w:val="right"/>
              <w:rPr>
                <w:rFonts w:ascii="宋体" w:hAnsi="宋体" w:cs="Arial"/>
                <w:color w:val="000000"/>
                <w:sz w:val="21"/>
                <w:szCs w:val="21"/>
              </w:rPr>
            </w:pPr>
            <w:r>
              <w:rPr>
                <w:rFonts w:cs="Arial" w:hint="eastAsia"/>
                <w:color w:val="000000"/>
                <w:sz w:val="21"/>
                <w:szCs w:val="21"/>
              </w:rPr>
              <w:t>-1.06%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02" w:rsidRDefault="00544302" w:rsidP="00FC62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66.67%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44302" w:rsidRDefault="00544302" w:rsidP="00FC621E">
            <w:pPr>
              <w:jc w:val="right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cs="Arial" w:hint="eastAsia"/>
                <w:sz w:val="21"/>
                <w:szCs w:val="21"/>
              </w:rPr>
              <w:t>-8.07</w:t>
            </w:r>
          </w:p>
        </w:tc>
      </w:tr>
      <w:tr w:rsidR="00544302" w:rsidRPr="00872023" w:rsidTr="00FC621E">
        <w:trPr>
          <w:gridAfter w:val="1"/>
          <w:wAfter w:w="588" w:type="dxa"/>
          <w:trHeight w:val="345"/>
          <w:jc w:val="right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Pr="00872023" w:rsidRDefault="00544302" w:rsidP="00FC621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Pr="00872023" w:rsidRDefault="00544302" w:rsidP="00FC621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</w:pPr>
            <w:r w:rsidRPr="00872023"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  <w:t>行政庭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Pr="00872023" w:rsidRDefault="00544302" w:rsidP="00FC621E">
            <w:pPr>
              <w:widowControl/>
              <w:jc w:val="right"/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44302" w:rsidRDefault="00544302" w:rsidP="00FC621E">
            <w:pPr>
              <w:jc w:val="right"/>
              <w:rPr>
                <w:rFonts w:ascii="宋体" w:hAnsi="宋体" w:cs="Arial"/>
                <w:color w:val="000000"/>
                <w:sz w:val="21"/>
                <w:szCs w:val="21"/>
              </w:rPr>
            </w:pPr>
            <w:r>
              <w:rPr>
                <w:rFonts w:cs="Arial" w:hint="eastAsia"/>
                <w:color w:val="000000"/>
                <w:sz w:val="21"/>
                <w:szCs w:val="21"/>
              </w:rPr>
              <w:t>51.58%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Default="00544302" w:rsidP="00FC62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44302" w:rsidRDefault="00544302" w:rsidP="00FC621E">
            <w:pPr>
              <w:jc w:val="right"/>
              <w:rPr>
                <w:rFonts w:ascii="宋体" w:hAnsi="宋体" w:cs="Arial"/>
                <w:color w:val="000000"/>
                <w:sz w:val="21"/>
                <w:szCs w:val="21"/>
              </w:rPr>
            </w:pPr>
            <w:r>
              <w:rPr>
                <w:rFonts w:cs="Arial" w:hint="eastAsia"/>
                <w:color w:val="000000"/>
                <w:sz w:val="21"/>
                <w:szCs w:val="21"/>
              </w:rPr>
              <w:t>9.3%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02" w:rsidRDefault="00544302" w:rsidP="00FC62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45.26%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44302" w:rsidRDefault="00544302" w:rsidP="00FC621E">
            <w:pPr>
              <w:jc w:val="right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cs="Arial" w:hint="eastAsia"/>
                <w:sz w:val="21"/>
                <w:szCs w:val="21"/>
              </w:rPr>
              <w:t>-39.52</w:t>
            </w:r>
          </w:p>
        </w:tc>
      </w:tr>
      <w:tr w:rsidR="00544302" w:rsidRPr="00872023" w:rsidTr="00FC621E">
        <w:trPr>
          <w:gridAfter w:val="1"/>
          <w:wAfter w:w="588" w:type="dxa"/>
          <w:trHeight w:val="345"/>
          <w:jc w:val="right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Pr="00872023" w:rsidRDefault="00544302" w:rsidP="00FC621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</w:pPr>
            <w:r w:rsidRPr="00872023"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  <w:lastRenderedPageBreak/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Pr="00872023" w:rsidRDefault="00544302" w:rsidP="00FC621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</w:pPr>
            <w:r w:rsidRPr="00872023"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  <w:t>执行处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Pr="00872023" w:rsidRDefault="00544302" w:rsidP="00FC621E">
            <w:pPr>
              <w:widowControl/>
              <w:jc w:val="right"/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  <w:t>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44302" w:rsidRDefault="00544302" w:rsidP="00FC621E">
            <w:pPr>
              <w:jc w:val="right"/>
              <w:rPr>
                <w:rFonts w:ascii="宋体" w:hAnsi="宋体" w:cs="Arial"/>
                <w:color w:val="000000"/>
                <w:sz w:val="21"/>
                <w:szCs w:val="21"/>
              </w:rPr>
            </w:pPr>
            <w:r>
              <w:rPr>
                <w:rFonts w:cs="Arial" w:hint="eastAsia"/>
                <w:color w:val="000000"/>
                <w:sz w:val="21"/>
                <w:szCs w:val="21"/>
              </w:rPr>
              <w:t>18.45%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Default="00544302" w:rsidP="00FC62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44302" w:rsidRDefault="00544302" w:rsidP="00FC621E">
            <w:pPr>
              <w:jc w:val="right"/>
              <w:rPr>
                <w:rFonts w:ascii="宋体" w:hAnsi="宋体" w:cs="Arial"/>
                <w:color w:val="000000"/>
                <w:sz w:val="21"/>
                <w:szCs w:val="21"/>
              </w:rPr>
            </w:pPr>
            <w:r>
              <w:rPr>
                <w:rFonts w:cs="Arial" w:hint="eastAsia"/>
                <w:color w:val="000000"/>
                <w:sz w:val="21"/>
                <w:szCs w:val="21"/>
              </w:rPr>
              <w:t>1.39%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02" w:rsidRDefault="00544302" w:rsidP="00FC62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27.96%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44302" w:rsidRDefault="00544302" w:rsidP="00FC621E">
            <w:pPr>
              <w:jc w:val="right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cs="Arial" w:hint="eastAsia"/>
                <w:sz w:val="21"/>
                <w:szCs w:val="21"/>
              </w:rPr>
              <w:t>-5.85</w:t>
            </w:r>
          </w:p>
        </w:tc>
      </w:tr>
      <w:tr w:rsidR="00544302" w:rsidRPr="00872023" w:rsidTr="00FC621E">
        <w:trPr>
          <w:gridAfter w:val="1"/>
          <w:wAfter w:w="588" w:type="dxa"/>
          <w:trHeight w:val="345"/>
          <w:jc w:val="right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Pr="00872023" w:rsidRDefault="00544302" w:rsidP="00FC621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Pr="00872023" w:rsidRDefault="00544302" w:rsidP="00FC621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</w:pPr>
            <w:r w:rsidRPr="00872023"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  <w:t>执行复议处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Pr="00872023" w:rsidRDefault="00544302" w:rsidP="00FC621E">
            <w:pPr>
              <w:widowControl/>
              <w:jc w:val="right"/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44302" w:rsidRDefault="00544302" w:rsidP="00FC621E">
            <w:pPr>
              <w:jc w:val="right"/>
              <w:rPr>
                <w:rFonts w:ascii="宋体" w:hAnsi="宋体" w:cs="Arial"/>
                <w:color w:val="000000"/>
                <w:sz w:val="21"/>
                <w:szCs w:val="21"/>
              </w:rPr>
            </w:pPr>
            <w:r>
              <w:rPr>
                <w:rFonts w:cs="Arial" w:hint="eastAsia"/>
                <w:color w:val="000000"/>
                <w:sz w:val="21"/>
                <w:szCs w:val="21"/>
              </w:rPr>
              <w:t>11.74%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Default="00544302" w:rsidP="00FC62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44302" w:rsidRDefault="00544302" w:rsidP="00FC621E">
            <w:pPr>
              <w:jc w:val="right"/>
              <w:rPr>
                <w:rFonts w:ascii="宋体" w:hAnsi="宋体" w:cs="Arial"/>
                <w:color w:val="000000"/>
                <w:sz w:val="21"/>
                <w:szCs w:val="21"/>
              </w:rPr>
            </w:pPr>
            <w:r>
              <w:rPr>
                <w:rFonts w:cs="Arial" w:hint="eastAsia"/>
                <w:color w:val="000000"/>
                <w:sz w:val="21"/>
                <w:szCs w:val="21"/>
              </w:rPr>
              <w:t>-10%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02" w:rsidRDefault="00544302" w:rsidP="00FC62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56.52%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44302" w:rsidRDefault="00544302" w:rsidP="00FC621E">
            <w:pPr>
              <w:jc w:val="right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cs="Arial" w:hint="eastAsia"/>
                <w:sz w:val="21"/>
                <w:szCs w:val="21"/>
              </w:rPr>
              <w:t>-13.92</w:t>
            </w:r>
          </w:p>
        </w:tc>
      </w:tr>
      <w:tr w:rsidR="00544302" w:rsidRPr="00872023" w:rsidTr="00FC621E">
        <w:trPr>
          <w:gridAfter w:val="1"/>
          <w:wAfter w:w="588" w:type="dxa"/>
          <w:trHeight w:val="345"/>
          <w:jc w:val="right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Pr="00872023" w:rsidRDefault="00544302" w:rsidP="00FC621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Pr="00872023" w:rsidRDefault="00544302" w:rsidP="00FC621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</w:pPr>
            <w:r w:rsidRPr="00872023"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  <w:t>审监一庭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Pr="00872023" w:rsidRDefault="00544302" w:rsidP="00FC621E">
            <w:pPr>
              <w:widowControl/>
              <w:jc w:val="right"/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  <w:t>1248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44302" w:rsidRDefault="00544302" w:rsidP="00FC621E">
            <w:pPr>
              <w:jc w:val="right"/>
              <w:rPr>
                <w:rFonts w:ascii="宋体" w:hAnsi="宋体" w:cs="Arial"/>
                <w:color w:val="000000"/>
                <w:sz w:val="21"/>
                <w:szCs w:val="21"/>
              </w:rPr>
            </w:pPr>
            <w:r>
              <w:rPr>
                <w:rFonts w:cs="Arial" w:hint="eastAsia"/>
                <w:color w:val="000000"/>
                <w:sz w:val="21"/>
                <w:szCs w:val="21"/>
              </w:rPr>
              <w:t>-41.76%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Default="00544302" w:rsidP="00FC62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44302" w:rsidRDefault="00544302" w:rsidP="00FC621E">
            <w:pPr>
              <w:jc w:val="right"/>
              <w:rPr>
                <w:rFonts w:ascii="宋体" w:hAnsi="宋体" w:cs="Arial"/>
                <w:color w:val="000000"/>
                <w:sz w:val="21"/>
                <w:szCs w:val="21"/>
              </w:rPr>
            </w:pPr>
            <w:r>
              <w:rPr>
                <w:rFonts w:cs="Arial" w:hint="eastAsia"/>
                <w:color w:val="000000"/>
                <w:sz w:val="21"/>
                <w:szCs w:val="21"/>
              </w:rPr>
              <w:t>-11.26%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02" w:rsidRDefault="00544302" w:rsidP="00FC62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94.59%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44302" w:rsidRDefault="00544302" w:rsidP="00FC621E">
            <w:pPr>
              <w:jc w:val="right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cs="Arial" w:hint="eastAsia"/>
                <w:sz w:val="21"/>
                <w:szCs w:val="21"/>
              </w:rPr>
              <w:t>20.35</w:t>
            </w:r>
          </w:p>
        </w:tc>
      </w:tr>
      <w:tr w:rsidR="00544302" w:rsidRPr="00872023" w:rsidTr="00FC621E">
        <w:trPr>
          <w:gridAfter w:val="1"/>
          <w:wAfter w:w="588" w:type="dxa"/>
          <w:trHeight w:val="345"/>
          <w:jc w:val="right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Pr="00872023" w:rsidRDefault="00544302" w:rsidP="00FC621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Pr="00872023" w:rsidRDefault="00544302" w:rsidP="00FC621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872023"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  <w:t>审监二庭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Pr="00872023" w:rsidRDefault="00544302" w:rsidP="00FC621E">
            <w:pPr>
              <w:widowControl/>
              <w:jc w:val="right"/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44302" w:rsidRDefault="00544302" w:rsidP="00FC621E">
            <w:pPr>
              <w:jc w:val="right"/>
              <w:rPr>
                <w:rFonts w:ascii="宋体" w:hAnsi="宋体" w:cs="Arial"/>
                <w:color w:val="000000"/>
                <w:sz w:val="21"/>
                <w:szCs w:val="21"/>
              </w:rPr>
            </w:pPr>
            <w:r>
              <w:rPr>
                <w:rFonts w:cs="Arial" w:hint="eastAsia"/>
                <w:color w:val="000000"/>
                <w:sz w:val="21"/>
                <w:szCs w:val="21"/>
              </w:rPr>
              <w:t>21.90%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Default="00544302" w:rsidP="00FC62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44302" w:rsidRDefault="00544302" w:rsidP="00FC621E">
            <w:pPr>
              <w:jc w:val="right"/>
              <w:rPr>
                <w:rFonts w:ascii="宋体" w:hAnsi="宋体" w:cs="Arial"/>
                <w:color w:val="000000"/>
                <w:sz w:val="21"/>
                <w:szCs w:val="21"/>
              </w:rPr>
            </w:pPr>
            <w:r>
              <w:rPr>
                <w:rFonts w:cs="Arial" w:hint="eastAsia"/>
                <w:color w:val="000000"/>
                <w:sz w:val="21"/>
                <w:szCs w:val="21"/>
              </w:rPr>
              <w:t>-47.72%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02" w:rsidRDefault="00544302" w:rsidP="00FC62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42.31%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44302" w:rsidRDefault="00544302" w:rsidP="00FC621E">
            <w:pPr>
              <w:jc w:val="right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cs="Arial" w:hint="eastAsia"/>
                <w:sz w:val="21"/>
                <w:szCs w:val="21"/>
              </w:rPr>
              <w:t>-36.96</w:t>
            </w:r>
          </w:p>
        </w:tc>
      </w:tr>
      <w:tr w:rsidR="00544302" w:rsidRPr="00872023" w:rsidTr="00FC621E">
        <w:trPr>
          <w:gridAfter w:val="1"/>
          <w:wAfter w:w="588" w:type="dxa"/>
          <w:trHeight w:val="345"/>
          <w:jc w:val="right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Pr="00872023" w:rsidRDefault="00544302" w:rsidP="00FC621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Pr="00872023" w:rsidRDefault="00544302" w:rsidP="00FC621E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</w:pPr>
            <w:r w:rsidRPr="00872023"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  <w:t>信访二处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Pr="00872023" w:rsidRDefault="00544302" w:rsidP="00FC621E">
            <w:pPr>
              <w:widowControl/>
              <w:jc w:val="right"/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44302" w:rsidRDefault="00544302" w:rsidP="00FC621E">
            <w:pPr>
              <w:jc w:val="right"/>
              <w:rPr>
                <w:rFonts w:ascii="宋体" w:hAnsi="宋体" w:cs="Arial"/>
                <w:color w:val="000000"/>
                <w:sz w:val="21"/>
                <w:szCs w:val="21"/>
              </w:rPr>
            </w:pPr>
            <w:r>
              <w:rPr>
                <w:rFonts w:cs="Arial" w:hint="eastAsia"/>
                <w:color w:val="000000"/>
                <w:sz w:val="21"/>
                <w:szCs w:val="21"/>
              </w:rPr>
              <w:t>6.99%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Default="00544302" w:rsidP="00FC62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44302" w:rsidRDefault="00544302" w:rsidP="00FC621E">
            <w:pPr>
              <w:jc w:val="right"/>
              <w:rPr>
                <w:rFonts w:ascii="宋体" w:hAnsi="宋体" w:cs="Arial"/>
                <w:color w:val="000000"/>
                <w:sz w:val="21"/>
                <w:szCs w:val="21"/>
              </w:rPr>
            </w:pPr>
            <w:r>
              <w:rPr>
                <w:rFonts w:cs="Arial" w:hint="eastAsia"/>
                <w:color w:val="000000"/>
                <w:sz w:val="21"/>
                <w:szCs w:val="21"/>
              </w:rPr>
              <w:t>-4.95%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02" w:rsidRDefault="00544302" w:rsidP="00FC62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70.63%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44302" w:rsidRDefault="00544302" w:rsidP="00FC621E">
            <w:pPr>
              <w:jc w:val="right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cs="Arial" w:hint="eastAsia"/>
                <w:sz w:val="21"/>
                <w:szCs w:val="21"/>
              </w:rPr>
              <w:t>-9.07</w:t>
            </w:r>
          </w:p>
        </w:tc>
      </w:tr>
      <w:tr w:rsidR="00544302" w:rsidRPr="00872023" w:rsidTr="00FC621E">
        <w:trPr>
          <w:trHeight w:val="345"/>
          <w:jc w:val="right"/>
        </w:trPr>
        <w:tc>
          <w:tcPr>
            <w:tcW w:w="1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Pr="00872023" w:rsidRDefault="00544302" w:rsidP="00FC621E">
            <w:pPr>
              <w:widowControl/>
              <w:jc w:val="center"/>
              <w:rPr>
                <w:rFonts w:ascii="宋体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872023">
              <w:rPr>
                <w:rFonts w:ascii="宋体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t>总计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302" w:rsidRPr="00872023" w:rsidRDefault="00544302" w:rsidP="00FC621E">
            <w:pPr>
              <w:widowControl/>
              <w:jc w:val="right"/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  <w:t>5810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4302" w:rsidRPr="00872023" w:rsidRDefault="00544302" w:rsidP="00FC621E">
            <w:pPr>
              <w:widowControl/>
              <w:jc w:val="right"/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1"/>
                <w:szCs w:val="21"/>
              </w:rPr>
              <w:t>12.53%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4302" w:rsidRDefault="00544302" w:rsidP="00FC621E">
            <w:pPr>
              <w:jc w:val="right"/>
              <w:rPr>
                <w:rFonts w:ascii="宋体" w:hAnsi="宋体" w:cs="Arial" w:hint="eastAsia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302" w:rsidRDefault="00544302" w:rsidP="00FC62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9.53%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4302" w:rsidRDefault="00544302" w:rsidP="00FC621E">
            <w:pPr>
              <w:jc w:val="right"/>
              <w:rPr>
                <w:rFonts w:ascii="宋体" w:hAnsi="宋体" w:cs="Arial" w:hint="eastAsia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4302" w:rsidRDefault="00544302" w:rsidP="00FC62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-2.19</w:t>
            </w:r>
          </w:p>
        </w:tc>
        <w:tc>
          <w:tcPr>
            <w:tcW w:w="588" w:type="dxa"/>
            <w:vAlign w:val="bottom"/>
          </w:tcPr>
          <w:p w:rsidR="00544302" w:rsidRDefault="00544302" w:rsidP="00FC621E">
            <w:pPr>
              <w:jc w:val="right"/>
              <w:rPr>
                <w:rFonts w:ascii="宋体" w:hAnsi="宋体" w:cs="Arial"/>
                <w:sz w:val="21"/>
                <w:szCs w:val="21"/>
              </w:rPr>
            </w:pPr>
          </w:p>
        </w:tc>
      </w:tr>
    </w:tbl>
    <w:p w:rsidR="00544302" w:rsidRPr="00872023" w:rsidRDefault="00544302" w:rsidP="00544302">
      <w:pPr>
        <w:snapToGrid w:val="0"/>
        <w:spacing w:line="360" w:lineRule="auto"/>
        <w:jc w:val="left"/>
        <w:rPr>
          <w:rFonts w:ascii="仿宋_GB2312" w:eastAsia="仿宋_GB2312" w:hint="eastAsia"/>
        </w:rPr>
      </w:pPr>
    </w:p>
    <w:p w:rsidR="00126516" w:rsidRDefault="00126516">
      <w:pPr>
        <w:rPr>
          <w:rFonts w:hint="eastAsia"/>
        </w:rPr>
      </w:pPr>
    </w:p>
    <w:sectPr w:rsidR="00126516" w:rsidSect="001265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4302"/>
    <w:rsid w:val="00000A79"/>
    <w:rsid w:val="00001A98"/>
    <w:rsid w:val="000028C1"/>
    <w:rsid w:val="00007B27"/>
    <w:rsid w:val="000211F0"/>
    <w:rsid w:val="00026661"/>
    <w:rsid w:val="00032D42"/>
    <w:rsid w:val="000334D5"/>
    <w:rsid w:val="00045884"/>
    <w:rsid w:val="000469A5"/>
    <w:rsid w:val="00050976"/>
    <w:rsid w:val="00065A56"/>
    <w:rsid w:val="0006675F"/>
    <w:rsid w:val="0006785F"/>
    <w:rsid w:val="00067C2A"/>
    <w:rsid w:val="00072AD8"/>
    <w:rsid w:val="000801E5"/>
    <w:rsid w:val="0008098D"/>
    <w:rsid w:val="0009213F"/>
    <w:rsid w:val="000A1E1B"/>
    <w:rsid w:val="000A5A0E"/>
    <w:rsid w:val="000A6AF9"/>
    <w:rsid w:val="000A7DD8"/>
    <w:rsid w:val="000B12ED"/>
    <w:rsid w:val="000B2616"/>
    <w:rsid w:val="000B36CE"/>
    <w:rsid w:val="000B449A"/>
    <w:rsid w:val="000B5956"/>
    <w:rsid w:val="000C3A79"/>
    <w:rsid w:val="000C4B2E"/>
    <w:rsid w:val="000C6B4C"/>
    <w:rsid w:val="000C7D03"/>
    <w:rsid w:val="000D003A"/>
    <w:rsid w:val="000D2FDB"/>
    <w:rsid w:val="000E17D9"/>
    <w:rsid w:val="000E31C4"/>
    <w:rsid w:val="000E4693"/>
    <w:rsid w:val="000F223D"/>
    <w:rsid w:val="000F30AC"/>
    <w:rsid w:val="000F3B8D"/>
    <w:rsid w:val="0011564E"/>
    <w:rsid w:val="00126516"/>
    <w:rsid w:val="00137743"/>
    <w:rsid w:val="001401B0"/>
    <w:rsid w:val="00143ECF"/>
    <w:rsid w:val="001455A6"/>
    <w:rsid w:val="00154ECC"/>
    <w:rsid w:val="0015683E"/>
    <w:rsid w:val="00157181"/>
    <w:rsid w:val="00157576"/>
    <w:rsid w:val="0016574C"/>
    <w:rsid w:val="001734D0"/>
    <w:rsid w:val="001778D5"/>
    <w:rsid w:val="0018364F"/>
    <w:rsid w:val="00191ACF"/>
    <w:rsid w:val="00197572"/>
    <w:rsid w:val="001A0190"/>
    <w:rsid w:val="001A1BE1"/>
    <w:rsid w:val="001B0579"/>
    <w:rsid w:val="001B0C82"/>
    <w:rsid w:val="001B7DAE"/>
    <w:rsid w:val="001C0B48"/>
    <w:rsid w:val="001C33C7"/>
    <w:rsid w:val="001C4CF3"/>
    <w:rsid w:val="001D67B6"/>
    <w:rsid w:val="001D6B4F"/>
    <w:rsid w:val="001E535C"/>
    <w:rsid w:val="001E68DD"/>
    <w:rsid w:val="001F104D"/>
    <w:rsid w:val="001F1B25"/>
    <w:rsid w:val="001F4A88"/>
    <w:rsid w:val="001F4CD0"/>
    <w:rsid w:val="00201A67"/>
    <w:rsid w:val="0020561C"/>
    <w:rsid w:val="00206FB1"/>
    <w:rsid w:val="00207C06"/>
    <w:rsid w:val="002140F0"/>
    <w:rsid w:val="00216600"/>
    <w:rsid w:val="0022236C"/>
    <w:rsid w:val="00226326"/>
    <w:rsid w:val="0023225F"/>
    <w:rsid w:val="00235660"/>
    <w:rsid w:val="00235F79"/>
    <w:rsid w:val="0024071B"/>
    <w:rsid w:val="002508AA"/>
    <w:rsid w:val="00253210"/>
    <w:rsid w:val="0025771D"/>
    <w:rsid w:val="00260050"/>
    <w:rsid w:val="00262A94"/>
    <w:rsid w:val="00275599"/>
    <w:rsid w:val="00280629"/>
    <w:rsid w:val="00285428"/>
    <w:rsid w:val="00290905"/>
    <w:rsid w:val="00292B7C"/>
    <w:rsid w:val="002933B5"/>
    <w:rsid w:val="0029539E"/>
    <w:rsid w:val="00295543"/>
    <w:rsid w:val="002A3A18"/>
    <w:rsid w:val="002A3FE2"/>
    <w:rsid w:val="002B020C"/>
    <w:rsid w:val="002B0391"/>
    <w:rsid w:val="002B2E8B"/>
    <w:rsid w:val="002B381D"/>
    <w:rsid w:val="002B5CB6"/>
    <w:rsid w:val="002C1AAC"/>
    <w:rsid w:val="002C1EB2"/>
    <w:rsid w:val="002C2358"/>
    <w:rsid w:val="002C2C64"/>
    <w:rsid w:val="002C5252"/>
    <w:rsid w:val="002D5904"/>
    <w:rsid w:val="002F353E"/>
    <w:rsid w:val="002F5607"/>
    <w:rsid w:val="002F7C14"/>
    <w:rsid w:val="002F7C96"/>
    <w:rsid w:val="003020BA"/>
    <w:rsid w:val="003053B0"/>
    <w:rsid w:val="0030620C"/>
    <w:rsid w:val="00310FB9"/>
    <w:rsid w:val="00320F1B"/>
    <w:rsid w:val="003306BA"/>
    <w:rsid w:val="003319D9"/>
    <w:rsid w:val="00332B86"/>
    <w:rsid w:val="00334E35"/>
    <w:rsid w:val="003364DB"/>
    <w:rsid w:val="003369C9"/>
    <w:rsid w:val="00343A1A"/>
    <w:rsid w:val="00351BB0"/>
    <w:rsid w:val="00357065"/>
    <w:rsid w:val="00357E78"/>
    <w:rsid w:val="00360540"/>
    <w:rsid w:val="003707D0"/>
    <w:rsid w:val="00380343"/>
    <w:rsid w:val="00382601"/>
    <w:rsid w:val="003843D2"/>
    <w:rsid w:val="0039373E"/>
    <w:rsid w:val="00394C32"/>
    <w:rsid w:val="003A12E3"/>
    <w:rsid w:val="003A3642"/>
    <w:rsid w:val="003A498F"/>
    <w:rsid w:val="003B1ABB"/>
    <w:rsid w:val="003B3576"/>
    <w:rsid w:val="003B704B"/>
    <w:rsid w:val="003C0231"/>
    <w:rsid w:val="003D0EA3"/>
    <w:rsid w:val="003D2FFB"/>
    <w:rsid w:val="003D461F"/>
    <w:rsid w:val="003E0B53"/>
    <w:rsid w:val="003E237D"/>
    <w:rsid w:val="003F46EA"/>
    <w:rsid w:val="00410434"/>
    <w:rsid w:val="00411822"/>
    <w:rsid w:val="004118B9"/>
    <w:rsid w:val="004166D8"/>
    <w:rsid w:val="004175F9"/>
    <w:rsid w:val="00421D58"/>
    <w:rsid w:val="00442D90"/>
    <w:rsid w:val="00445F97"/>
    <w:rsid w:val="00450F95"/>
    <w:rsid w:val="004510EF"/>
    <w:rsid w:val="0045691F"/>
    <w:rsid w:val="00461E80"/>
    <w:rsid w:val="004640D9"/>
    <w:rsid w:val="00467B17"/>
    <w:rsid w:val="0047059D"/>
    <w:rsid w:val="0047066D"/>
    <w:rsid w:val="00470C13"/>
    <w:rsid w:val="00473492"/>
    <w:rsid w:val="004762FA"/>
    <w:rsid w:val="00483B01"/>
    <w:rsid w:val="00485C22"/>
    <w:rsid w:val="0048674E"/>
    <w:rsid w:val="0048799C"/>
    <w:rsid w:val="00487E17"/>
    <w:rsid w:val="00495D48"/>
    <w:rsid w:val="00496255"/>
    <w:rsid w:val="00497806"/>
    <w:rsid w:val="004A28BC"/>
    <w:rsid w:val="004A72AC"/>
    <w:rsid w:val="004C20C4"/>
    <w:rsid w:val="004C2F7C"/>
    <w:rsid w:val="004D1DAA"/>
    <w:rsid w:val="004D3FDB"/>
    <w:rsid w:val="004D7EFC"/>
    <w:rsid w:val="004E060A"/>
    <w:rsid w:val="004E235B"/>
    <w:rsid w:val="004E707E"/>
    <w:rsid w:val="004F30DB"/>
    <w:rsid w:val="004F3F2D"/>
    <w:rsid w:val="004F45EF"/>
    <w:rsid w:val="004F5ABF"/>
    <w:rsid w:val="00500EAD"/>
    <w:rsid w:val="005106E3"/>
    <w:rsid w:val="00512510"/>
    <w:rsid w:val="00512B0C"/>
    <w:rsid w:val="00513910"/>
    <w:rsid w:val="005205F6"/>
    <w:rsid w:val="00522EAE"/>
    <w:rsid w:val="00526BEC"/>
    <w:rsid w:val="005303AE"/>
    <w:rsid w:val="00530892"/>
    <w:rsid w:val="00530B25"/>
    <w:rsid w:val="00530C4A"/>
    <w:rsid w:val="005351BD"/>
    <w:rsid w:val="00544302"/>
    <w:rsid w:val="00544B84"/>
    <w:rsid w:val="0054509A"/>
    <w:rsid w:val="005528A9"/>
    <w:rsid w:val="00552B7E"/>
    <w:rsid w:val="00555211"/>
    <w:rsid w:val="00555F53"/>
    <w:rsid w:val="005604EF"/>
    <w:rsid w:val="00564CE7"/>
    <w:rsid w:val="005707BC"/>
    <w:rsid w:val="00573663"/>
    <w:rsid w:val="0057372D"/>
    <w:rsid w:val="00577622"/>
    <w:rsid w:val="00577E98"/>
    <w:rsid w:val="00577EE8"/>
    <w:rsid w:val="00582AD5"/>
    <w:rsid w:val="00583438"/>
    <w:rsid w:val="00590D8D"/>
    <w:rsid w:val="0059213F"/>
    <w:rsid w:val="00595FB3"/>
    <w:rsid w:val="005B6E95"/>
    <w:rsid w:val="005B7772"/>
    <w:rsid w:val="005C020C"/>
    <w:rsid w:val="005C2DCB"/>
    <w:rsid w:val="005C2F90"/>
    <w:rsid w:val="005C4D0F"/>
    <w:rsid w:val="005C524B"/>
    <w:rsid w:val="005C7856"/>
    <w:rsid w:val="005D4173"/>
    <w:rsid w:val="005E3508"/>
    <w:rsid w:val="005E39E0"/>
    <w:rsid w:val="005F2660"/>
    <w:rsid w:val="005F361A"/>
    <w:rsid w:val="005F37C8"/>
    <w:rsid w:val="00603690"/>
    <w:rsid w:val="006039DD"/>
    <w:rsid w:val="00604179"/>
    <w:rsid w:val="006107C8"/>
    <w:rsid w:val="00610A2F"/>
    <w:rsid w:val="00610ED8"/>
    <w:rsid w:val="00612515"/>
    <w:rsid w:val="00614523"/>
    <w:rsid w:val="0062181E"/>
    <w:rsid w:val="006274B8"/>
    <w:rsid w:val="00631F02"/>
    <w:rsid w:val="00632F19"/>
    <w:rsid w:val="00646190"/>
    <w:rsid w:val="00647466"/>
    <w:rsid w:val="0065066D"/>
    <w:rsid w:val="00654875"/>
    <w:rsid w:val="00656173"/>
    <w:rsid w:val="006563E4"/>
    <w:rsid w:val="006566B7"/>
    <w:rsid w:val="00660B12"/>
    <w:rsid w:val="00662D8F"/>
    <w:rsid w:val="00675512"/>
    <w:rsid w:val="006913CF"/>
    <w:rsid w:val="00695684"/>
    <w:rsid w:val="006A5678"/>
    <w:rsid w:val="006A662F"/>
    <w:rsid w:val="006B04C6"/>
    <w:rsid w:val="006C0142"/>
    <w:rsid w:val="006D07F6"/>
    <w:rsid w:val="006D1CB8"/>
    <w:rsid w:val="006D51D9"/>
    <w:rsid w:val="006D6DCE"/>
    <w:rsid w:val="006E6434"/>
    <w:rsid w:val="006F0147"/>
    <w:rsid w:val="006F0678"/>
    <w:rsid w:val="006F148A"/>
    <w:rsid w:val="006F22B0"/>
    <w:rsid w:val="006F2751"/>
    <w:rsid w:val="006F478C"/>
    <w:rsid w:val="006F50C0"/>
    <w:rsid w:val="006F7955"/>
    <w:rsid w:val="00706090"/>
    <w:rsid w:val="007062EF"/>
    <w:rsid w:val="007112A5"/>
    <w:rsid w:val="00714D7F"/>
    <w:rsid w:val="00722BB5"/>
    <w:rsid w:val="007241E4"/>
    <w:rsid w:val="007253A5"/>
    <w:rsid w:val="00727229"/>
    <w:rsid w:val="00740363"/>
    <w:rsid w:val="00741211"/>
    <w:rsid w:val="007439ED"/>
    <w:rsid w:val="00743DA9"/>
    <w:rsid w:val="00750995"/>
    <w:rsid w:val="007648F0"/>
    <w:rsid w:val="00765DF7"/>
    <w:rsid w:val="00771EBA"/>
    <w:rsid w:val="00774903"/>
    <w:rsid w:val="0078009E"/>
    <w:rsid w:val="0079094D"/>
    <w:rsid w:val="0079282C"/>
    <w:rsid w:val="007930F1"/>
    <w:rsid w:val="007A241F"/>
    <w:rsid w:val="007B307C"/>
    <w:rsid w:val="007B6AF3"/>
    <w:rsid w:val="007C064D"/>
    <w:rsid w:val="007C2BA7"/>
    <w:rsid w:val="007C39DA"/>
    <w:rsid w:val="007C5C38"/>
    <w:rsid w:val="007C6EEA"/>
    <w:rsid w:val="007C7CD1"/>
    <w:rsid w:val="007D7E72"/>
    <w:rsid w:val="007E10FD"/>
    <w:rsid w:val="007E295A"/>
    <w:rsid w:val="007F0112"/>
    <w:rsid w:val="007F15C3"/>
    <w:rsid w:val="008117B8"/>
    <w:rsid w:val="0082039D"/>
    <w:rsid w:val="00825F3B"/>
    <w:rsid w:val="008308B4"/>
    <w:rsid w:val="00842F27"/>
    <w:rsid w:val="00846288"/>
    <w:rsid w:val="00847678"/>
    <w:rsid w:val="0085565B"/>
    <w:rsid w:val="00861862"/>
    <w:rsid w:val="00867233"/>
    <w:rsid w:val="00872388"/>
    <w:rsid w:val="00873F12"/>
    <w:rsid w:val="00885D95"/>
    <w:rsid w:val="008874A3"/>
    <w:rsid w:val="00887ADE"/>
    <w:rsid w:val="008929CD"/>
    <w:rsid w:val="008932C3"/>
    <w:rsid w:val="0089368F"/>
    <w:rsid w:val="00894F5F"/>
    <w:rsid w:val="00895FD6"/>
    <w:rsid w:val="008A00FD"/>
    <w:rsid w:val="008A7F7C"/>
    <w:rsid w:val="008B2E3C"/>
    <w:rsid w:val="008B43AA"/>
    <w:rsid w:val="008B69F4"/>
    <w:rsid w:val="008C02B9"/>
    <w:rsid w:val="008C05A5"/>
    <w:rsid w:val="008C75A4"/>
    <w:rsid w:val="008D5F15"/>
    <w:rsid w:val="008E6DC9"/>
    <w:rsid w:val="008F3B3E"/>
    <w:rsid w:val="008F73D9"/>
    <w:rsid w:val="008F7CEC"/>
    <w:rsid w:val="00902161"/>
    <w:rsid w:val="00902E81"/>
    <w:rsid w:val="009137FB"/>
    <w:rsid w:val="009265F2"/>
    <w:rsid w:val="009333EE"/>
    <w:rsid w:val="009367B1"/>
    <w:rsid w:val="009437D8"/>
    <w:rsid w:val="009438ED"/>
    <w:rsid w:val="00951FC8"/>
    <w:rsid w:val="009543D3"/>
    <w:rsid w:val="00966882"/>
    <w:rsid w:val="00971790"/>
    <w:rsid w:val="00975A93"/>
    <w:rsid w:val="00981589"/>
    <w:rsid w:val="00981B09"/>
    <w:rsid w:val="00982ECE"/>
    <w:rsid w:val="00984A50"/>
    <w:rsid w:val="00984E69"/>
    <w:rsid w:val="00986B30"/>
    <w:rsid w:val="0099000E"/>
    <w:rsid w:val="0099082D"/>
    <w:rsid w:val="0099088D"/>
    <w:rsid w:val="0099560E"/>
    <w:rsid w:val="009A10D1"/>
    <w:rsid w:val="009A6198"/>
    <w:rsid w:val="009B3223"/>
    <w:rsid w:val="009B660D"/>
    <w:rsid w:val="009C2C91"/>
    <w:rsid w:val="009C7604"/>
    <w:rsid w:val="009D5132"/>
    <w:rsid w:val="009F3E9C"/>
    <w:rsid w:val="009F473B"/>
    <w:rsid w:val="009F6DA5"/>
    <w:rsid w:val="00A01383"/>
    <w:rsid w:val="00A01E7B"/>
    <w:rsid w:val="00A028A4"/>
    <w:rsid w:val="00A02CEC"/>
    <w:rsid w:val="00A03510"/>
    <w:rsid w:val="00A041A2"/>
    <w:rsid w:val="00A10209"/>
    <w:rsid w:val="00A1222F"/>
    <w:rsid w:val="00A143FE"/>
    <w:rsid w:val="00A43A63"/>
    <w:rsid w:val="00A554D2"/>
    <w:rsid w:val="00A56F48"/>
    <w:rsid w:val="00A76544"/>
    <w:rsid w:val="00A90D7F"/>
    <w:rsid w:val="00A91B9E"/>
    <w:rsid w:val="00A94108"/>
    <w:rsid w:val="00A97370"/>
    <w:rsid w:val="00AA0AF5"/>
    <w:rsid w:val="00AA3DA4"/>
    <w:rsid w:val="00AA479A"/>
    <w:rsid w:val="00AA595A"/>
    <w:rsid w:val="00AA7879"/>
    <w:rsid w:val="00AB67B7"/>
    <w:rsid w:val="00AD2624"/>
    <w:rsid w:val="00AF2F60"/>
    <w:rsid w:val="00B02348"/>
    <w:rsid w:val="00B06422"/>
    <w:rsid w:val="00B06436"/>
    <w:rsid w:val="00B072E7"/>
    <w:rsid w:val="00B13365"/>
    <w:rsid w:val="00B3001A"/>
    <w:rsid w:val="00B360C7"/>
    <w:rsid w:val="00B36F37"/>
    <w:rsid w:val="00B52E4C"/>
    <w:rsid w:val="00B56FF7"/>
    <w:rsid w:val="00B615C4"/>
    <w:rsid w:val="00B67073"/>
    <w:rsid w:val="00B70525"/>
    <w:rsid w:val="00B737B7"/>
    <w:rsid w:val="00B7404B"/>
    <w:rsid w:val="00B845FC"/>
    <w:rsid w:val="00B939C2"/>
    <w:rsid w:val="00B94DBF"/>
    <w:rsid w:val="00BA2E35"/>
    <w:rsid w:val="00BB0322"/>
    <w:rsid w:val="00BB3B10"/>
    <w:rsid w:val="00BB7AC2"/>
    <w:rsid w:val="00BC02E6"/>
    <w:rsid w:val="00BC0A52"/>
    <w:rsid w:val="00BC79D0"/>
    <w:rsid w:val="00BC7A16"/>
    <w:rsid w:val="00BC7FFB"/>
    <w:rsid w:val="00BD04EF"/>
    <w:rsid w:val="00BD1389"/>
    <w:rsid w:val="00BD4BF1"/>
    <w:rsid w:val="00BD5D4D"/>
    <w:rsid w:val="00BE0596"/>
    <w:rsid w:val="00BE13EF"/>
    <w:rsid w:val="00BE46B0"/>
    <w:rsid w:val="00BF06CB"/>
    <w:rsid w:val="00BF209A"/>
    <w:rsid w:val="00C00BF3"/>
    <w:rsid w:val="00C1046C"/>
    <w:rsid w:val="00C12034"/>
    <w:rsid w:val="00C146E5"/>
    <w:rsid w:val="00C36CAC"/>
    <w:rsid w:val="00C51FC5"/>
    <w:rsid w:val="00C524AD"/>
    <w:rsid w:val="00C56B7A"/>
    <w:rsid w:val="00C576F6"/>
    <w:rsid w:val="00C57C76"/>
    <w:rsid w:val="00C605F7"/>
    <w:rsid w:val="00C634E5"/>
    <w:rsid w:val="00C71335"/>
    <w:rsid w:val="00C719D0"/>
    <w:rsid w:val="00C81D51"/>
    <w:rsid w:val="00C8464C"/>
    <w:rsid w:val="00C8666C"/>
    <w:rsid w:val="00C87929"/>
    <w:rsid w:val="00C87E23"/>
    <w:rsid w:val="00C901D4"/>
    <w:rsid w:val="00C9080D"/>
    <w:rsid w:val="00C91263"/>
    <w:rsid w:val="00C9173A"/>
    <w:rsid w:val="00C96351"/>
    <w:rsid w:val="00CA145D"/>
    <w:rsid w:val="00CA3888"/>
    <w:rsid w:val="00CA43CA"/>
    <w:rsid w:val="00CA4EE1"/>
    <w:rsid w:val="00CB0DA7"/>
    <w:rsid w:val="00CC24DB"/>
    <w:rsid w:val="00CC5951"/>
    <w:rsid w:val="00CD35FB"/>
    <w:rsid w:val="00CD3C52"/>
    <w:rsid w:val="00CD421A"/>
    <w:rsid w:val="00CD7E96"/>
    <w:rsid w:val="00CE4863"/>
    <w:rsid w:val="00CF1AC9"/>
    <w:rsid w:val="00CF2C3C"/>
    <w:rsid w:val="00CF3034"/>
    <w:rsid w:val="00CF3B77"/>
    <w:rsid w:val="00D03084"/>
    <w:rsid w:val="00D03C2E"/>
    <w:rsid w:val="00D13566"/>
    <w:rsid w:val="00D15F02"/>
    <w:rsid w:val="00D16EA6"/>
    <w:rsid w:val="00D17C6B"/>
    <w:rsid w:val="00D20F55"/>
    <w:rsid w:val="00D27695"/>
    <w:rsid w:val="00D316A6"/>
    <w:rsid w:val="00D320CC"/>
    <w:rsid w:val="00D32AAD"/>
    <w:rsid w:val="00D32F04"/>
    <w:rsid w:val="00D34A4E"/>
    <w:rsid w:val="00D45369"/>
    <w:rsid w:val="00D45FC3"/>
    <w:rsid w:val="00D522D9"/>
    <w:rsid w:val="00D54488"/>
    <w:rsid w:val="00D56958"/>
    <w:rsid w:val="00D61EC9"/>
    <w:rsid w:val="00D61F83"/>
    <w:rsid w:val="00D63841"/>
    <w:rsid w:val="00D6624C"/>
    <w:rsid w:val="00D738CB"/>
    <w:rsid w:val="00D73F38"/>
    <w:rsid w:val="00D74F85"/>
    <w:rsid w:val="00D75F18"/>
    <w:rsid w:val="00D77201"/>
    <w:rsid w:val="00D80987"/>
    <w:rsid w:val="00D9479F"/>
    <w:rsid w:val="00DA29A0"/>
    <w:rsid w:val="00DA2D7D"/>
    <w:rsid w:val="00DA461A"/>
    <w:rsid w:val="00DA6F02"/>
    <w:rsid w:val="00DB7112"/>
    <w:rsid w:val="00DC112A"/>
    <w:rsid w:val="00DD03FA"/>
    <w:rsid w:val="00DD1CDF"/>
    <w:rsid w:val="00DD38E2"/>
    <w:rsid w:val="00DD6DE7"/>
    <w:rsid w:val="00DE7512"/>
    <w:rsid w:val="00DE77C7"/>
    <w:rsid w:val="00DF0930"/>
    <w:rsid w:val="00DF377C"/>
    <w:rsid w:val="00DF73CD"/>
    <w:rsid w:val="00E00386"/>
    <w:rsid w:val="00E0222F"/>
    <w:rsid w:val="00E04189"/>
    <w:rsid w:val="00E0476E"/>
    <w:rsid w:val="00E1014B"/>
    <w:rsid w:val="00E13EE6"/>
    <w:rsid w:val="00E157E5"/>
    <w:rsid w:val="00E15A65"/>
    <w:rsid w:val="00E1640D"/>
    <w:rsid w:val="00E1775A"/>
    <w:rsid w:val="00E21652"/>
    <w:rsid w:val="00E222D2"/>
    <w:rsid w:val="00E266FA"/>
    <w:rsid w:val="00E26DFC"/>
    <w:rsid w:val="00E367AB"/>
    <w:rsid w:val="00E367F0"/>
    <w:rsid w:val="00E511CD"/>
    <w:rsid w:val="00E53306"/>
    <w:rsid w:val="00E5337C"/>
    <w:rsid w:val="00E5659F"/>
    <w:rsid w:val="00E6125C"/>
    <w:rsid w:val="00E70997"/>
    <w:rsid w:val="00E7340E"/>
    <w:rsid w:val="00E74589"/>
    <w:rsid w:val="00E845E2"/>
    <w:rsid w:val="00E96CA3"/>
    <w:rsid w:val="00EA0992"/>
    <w:rsid w:val="00EA2C41"/>
    <w:rsid w:val="00EA3D59"/>
    <w:rsid w:val="00EB4728"/>
    <w:rsid w:val="00EC6362"/>
    <w:rsid w:val="00ED32A3"/>
    <w:rsid w:val="00ED7E70"/>
    <w:rsid w:val="00EE03F7"/>
    <w:rsid w:val="00EE0B6A"/>
    <w:rsid w:val="00EE21AB"/>
    <w:rsid w:val="00EE53D8"/>
    <w:rsid w:val="00EF7D81"/>
    <w:rsid w:val="00EF7F6E"/>
    <w:rsid w:val="00F140E4"/>
    <w:rsid w:val="00F14AD1"/>
    <w:rsid w:val="00F172C5"/>
    <w:rsid w:val="00F26DE6"/>
    <w:rsid w:val="00F27FED"/>
    <w:rsid w:val="00F4019A"/>
    <w:rsid w:val="00F408E6"/>
    <w:rsid w:val="00F4432E"/>
    <w:rsid w:val="00F553D5"/>
    <w:rsid w:val="00F57C3B"/>
    <w:rsid w:val="00F6035E"/>
    <w:rsid w:val="00F75541"/>
    <w:rsid w:val="00F829CA"/>
    <w:rsid w:val="00F8438B"/>
    <w:rsid w:val="00F84670"/>
    <w:rsid w:val="00F84904"/>
    <w:rsid w:val="00F9201F"/>
    <w:rsid w:val="00F92544"/>
    <w:rsid w:val="00FA1ED0"/>
    <w:rsid w:val="00FA234D"/>
    <w:rsid w:val="00FB1B80"/>
    <w:rsid w:val="00FC6AD7"/>
    <w:rsid w:val="00FC754C"/>
    <w:rsid w:val="00FD440C"/>
    <w:rsid w:val="00FE335C"/>
    <w:rsid w:val="00FF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02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430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43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ocuments%20and%20Settings\Administrator\&#26700;&#38754;\&#22270;.xls" TargetMode="External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tor\&#26700;&#38754;\&#2227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view3D>
      <c:depthPercent val="100"/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Sheet5!$A$2</c:f>
              <c:strCache>
                <c:ptCount val="1"/>
                <c:pt idx="0">
                  <c:v>2015年上半年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showVal val="1"/>
          </c:dLbls>
          <c:cat>
            <c:strRef>
              <c:f>Sheet5!$B$1:$F$1</c:f>
              <c:strCache>
                <c:ptCount val="5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  <c:pt idx="4">
                  <c:v>总收案数</c:v>
                </c:pt>
              </c:strCache>
            </c:strRef>
          </c:cat>
          <c:val>
            <c:numRef>
              <c:f>Sheet5!$B$2:$F$2</c:f>
              <c:numCache>
                <c:formatCode>General</c:formatCode>
                <c:ptCount val="5"/>
                <c:pt idx="0">
                  <c:v>1018</c:v>
                </c:pt>
                <c:pt idx="1">
                  <c:v>4792</c:v>
                </c:pt>
                <c:pt idx="2">
                  <c:v>3722</c:v>
                </c:pt>
                <c:pt idx="3">
                  <c:v>2088</c:v>
                </c:pt>
                <c:pt idx="4">
                  <c:v>5810</c:v>
                </c:pt>
              </c:numCache>
            </c:numRef>
          </c:val>
        </c:ser>
        <c:ser>
          <c:idx val="1"/>
          <c:order val="1"/>
          <c:tx>
            <c:strRef>
              <c:f>Sheet5!$A$3</c:f>
              <c:strCache>
                <c:ptCount val="1"/>
                <c:pt idx="0">
                  <c:v>2014年上半年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dLbls>
            <c:showVal val="1"/>
          </c:dLbls>
          <c:cat>
            <c:strRef>
              <c:f>Sheet5!$B$1:$F$1</c:f>
              <c:strCache>
                <c:ptCount val="5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  <c:pt idx="4">
                  <c:v>总收案数</c:v>
                </c:pt>
              </c:strCache>
            </c:strRef>
          </c:cat>
          <c:val>
            <c:numRef>
              <c:f>Sheet5!$B$3:$F$3</c:f>
              <c:numCache>
                <c:formatCode>General</c:formatCode>
                <c:ptCount val="5"/>
                <c:pt idx="0">
                  <c:v>925</c:v>
                </c:pt>
                <c:pt idx="1">
                  <c:v>4157</c:v>
                </c:pt>
                <c:pt idx="2">
                  <c:v>3367</c:v>
                </c:pt>
                <c:pt idx="3">
                  <c:v>1713</c:v>
                </c:pt>
                <c:pt idx="4">
                  <c:v>5082</c:v>
                </c:pt>
              </c:numCache>
            </c:numRef>
          </c:val>
        </c:ser>
        <c:shape val="box"/>
        <c:axId val="278167936"/>
        <c:axId val="278227584"/>
        <c:axId val="0"/>
      </c:bar3DChart>
      <c:catAx>
        <c:axId val="278167936"/>
        <c:scaling>
          <c:orientation val="minMax"/>
        </c:scaling>
        <c:axPos val="l"/>
        <c:numFmt formatCode="General" sourceLinked="1"/>
        <c:tickLblPos val="nextTo"/>
        <c:crossAx val="278227584"/>
        <c:crosses val="autoZero"/>
        <c:auto val="1"/>
        <c:lblAlgn val="ctr"/>
        <c:lblOffset val="100"/>
      </c:catAx>
      <c:valAx>
        <c:axId val="278227584"/>
        <c:scaling>
          <c:orientation val="minMax"/>
        </c:scaling>
        <c:axPos val="b"/>
        <c:majorGridlines/>
        <c:numFmt formatCode="General" sourceLinked="1"/>
        <c:tickLblPos val="nextTo"/>
        <c:crossAx val="278167936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externalData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Val val="1"/>
            <c:showCatName val="1"/>
            <c:showPercent val="1"/>
            <c:showLeaderLines val="1"/>
          </c:dLbls>
          <c:cat>
            <c:strRef>
              <c:f>Sheet6!$A$2:$A$8</c:f>
              <c:strCache>
                <c:ptCount val="7"/>
                <c:pt idx="0">
                  <c:v>刑事一、二、再审</c:v>
                </c:pt>
                <c:pt idx="1">
                  <c:v>民事一、二、再审</c:v>
                </c:pt>
                <c:pt idx="2">
                  <c:v>行政一、二、再审</c:v>
                </c:pt>
                <c:pt idx="3">
                  <c:v>执行</c:v>
                </c:pt>
                <c:pt idx="4">
                  <c:v>减刑、假释</c:v>
                </c:pt>
                <c:pt idx="5">
                  <c:v>申诉、申请再审</c:v>
                </c:pt>
                <c:pt idx="6">
                  <c:v>赔偿</c:v>
                </c:pt>
              </c:strCache>
            </c:strRef>
          </c:cat>
          <c:val>
            <c:numRef>
              <c:f>Sheet6!$B$2:$B$8</c:f>
              <c:numCache>
                <c:formatCode>General</c:formatCode>
                <c:ptCount val="7"/>
                <c:pt idx="0">
                  <c:v>1640</c:v>
                </c:pt>
                <c:pt idx="1">
                  <c:v>3065</c:v>
                </c:pt>
                <c:pt idx="2">
                  <c:v>214</c:v>
                </c:pt>
                <c:pt idx="3">
                  <c:v>636</c:v>
                </c:pt>
                <c:pt idx="4">
                  <c:v>1244</c:v>
                </c:pt>
                <c:pt idx="5">
                  <c:v>254</c:v>
                </c:pt>
                <c:pt idx="6">
                  <c:v>1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258</Words>
  <Characters>1474</Characters>
  <Application>Microsoft Office Word</Application>
  <DocSecurity>0</DocSecurity>
  <Lines>12</Lines>
  <Paragraphs>3</Paragraphs>
  <ScaleCrop>false</ScaleCrop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2015-08-06T02:08:00Z</dcterms:created>
  <dcterms:modified xsi:type="dcterms:W3CDTF">2015-08-06T02:08:00Z</dcterms:modified>
</cp:coreProperties>
</file>