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D8" w:rsidRPr="00D563D9" w:rsidRDefault="00FC4AD8" w:rsidP="00FC4AD8">
      <w:pPr>
        <w:snapToGrid w:val="0"/>
        <w:spacing w:line="560" w:lineRule="exact"/>
        <w:jc w:val="center"/>
        <w:outlineLvl w:val="0"/>
        <w:rPr>
          <w:rFonts w:ascii="方正小标宋_GBK" w:eastAsia="方正小标宋_GBK" w:hint="eastAsia"/>
          <w:sz w:val="44"/>
          <w:szCs w:val="44"/>
        </w:rPr>
      </w:pPr>
      <w:r w:rsidRPr="00D563D9">
        <w:rPr>
          <w:rFonts w:ascii="方正小标宋_GBK" w:eastAsia="方正小标宋_GBK" w:hint="eastAsia"/>
          <w:sz w:val="44"/>
          <w:szCs w:val="44"/>
        </w:rPr>
        <w:t>长春市中级人民法院（辖区）</w:t>
      </w:r>
    </w:p>
    <w:p w:rsidR="00FC4AD8" w:rsidRPr="00D563D9" w:rsidRDefault="00FC4AD8" w:rsidP="00FC4AD8">
      <w:pPr>
        <w:snapToGrid w:val="0"/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D563D9">
        <w:rPr>
          <w:rFonts w:ascii="方正小标宋_GBK" w:eastAsia="方正小标宋_GBK" w:hint="eastAsia"/>
          <w:sz w:val="44"/>
          <w:szCs w:val="44"/>
        </w:rPr>
        <w:t>2015年</w:t>
      </w:r>
      <w:r>
        <w:rPr>
          <w:rFonts w:ascii="方正小标宋_GBK" w:eastAsia="方正小标宋_GBK" w:hint="eastAsia"/>
          <w:sz w:val="44"/>
          <w:szCs w:val="44"/>
        </w:rPr>
        <w:t>上半年</w:t>
      </w:r>
      <w:r w:rsidRPr="00D563D9">
        <w:rPr>
          <w:rFonts w:ascii="方正小标宋_GBK" w:eastAsia="方正小标宋_GBK" w:hint="eastAsia"/>
          <w:sz w:val="44"/>
          <w:szCs w:val="44"/>
        </w:rPr>
        <w:t>审判运行态势分析报告</w:t>
      </w:r>
    </w:p>
    <w:p w:rsidR="00FC4AD8" w:rsidRDefault="00FC4AD8" w:rsidP="00FC4AD8">
      <w:pPr>
        <w:snapToGrid w:val="0"/>
        <w:spacing w:line="360" w:lineRule="auto"/>
        <w:textAlignment w:val="baseline"/>
        <w:rPr>
          <w:rFonts w:hint="eastAsia"/>
        </w:rPr>
      </w:pPr>
    </w:p>
    <w:p w:rsidR="00FC4AD8" w:rsidRPr="00E43302" w:rsidRDefault="00FC4AD8" w:rsidP="00FC4AD8">
      <w:pPr>
        <w:snapToGrid w:val="0"/>
        <w:spacing w:beforeLines="50" w:line="360" w:lineRule="auto"/>
        <w:ind w:firstLineChars="200" w:firstLine="640"/>
        <w:rPr>
          <w:rFonts w:ascii="黑体" w:eastAsia="黑体" w:hAnsi="黑体" w:hint="eastAsia"/>
        </w:rPr>
      </w:pPr>
      <w:r w:rsidRPr="00E43302">
        <w:rPr>
          <w:rFonts w:ascii="黑体" w:eastAsia="黑体" w:hAnsi="黑体" w:hint="eastAsia"/>
        </w:rPr>
        <w:t>一、</w:t>
      </w:r>
      <w:r w:rsidRPr="00E43302">
        <w:rPr>
          <w:rFonts w:ascii="黑体" w:eastAsia="黑体" w:hAnsi="黑体" w:cs="宋体" w:hint="eastAsia"/>
        </w:rPr>
        <w:t>收结案情况</w:t>
      </w:r>
    </w:p>
    <w:p w:rsidR="00FC4AD8" w:rsidRPr="00945BE3" w:rsidRDefault="00FC4AD8" w:rsidP="00FC4AD8">
      <w:pPr>
        <w:snapToGrid w:val="0"/>
        <w:spacing w:beforeLines="50" w:line="360" w:lineRule="auto"/>
        <w:ind w:firstLineChars="200" w:firstLine="643"/>
        <w:rPr>
          <w:rFonts w:ascii="楷体_GB2312" w:eastAsia="楷体_GB2312" w:hAnsi="楷体" w:hint="eastAsia"/>
          <w:b/>
        </w:rPr>
      </w:pPr>
      <w:r w:rsidRPr="00945BE3">
        <w:rPr>
          <w:rFonts w:ascii="楷体_GB2312" w:eastAsia="楷体_GB2312" w:hAnsi="楷体" w:hint="eastAsia"/>
          <w:b/>
        </w:rPr>
        <w:t>1、各类案件收结案情况。</w:t>
      </w:r>
    </w:p>
    <w:p w:rsidR="00FC4AD8" w:rsidRPr="007E478D" w:rsidRDefault="00FC4AD8" w:rsidP="00FC4AD8">
      <w:pPr>
        <w:spacing w:beforeLines="50" w:line="360" w:lineRule="auto"/>
        <w:ind w:firstLineChars="200" w:firstLine="640"/>
        <w:rPr>
          <w:rFonts w:cs="Arial" w:hint="eastAsia"/>
          <w:kern w:val="0"/>
        </w:rPr>
      </w:pPr>
      <w:r w:rsidRPr="007E478D">
        <w:rPr>
          <w:rFonts w:hint="eastAsia"/>
        </w:rPr>
        <w:t>2015年1-</w:t>
      </w:r>
      <w:r>
        <w:rPr>
          <w:rFonts w:hint="eastAsia"/>
        </w:rPr>
        <w:t>6</w:t>
      </w:r>
      <w:r w:rsidRPr="007E478D">
        <w:rPr>
          <w:rFonts w:hint="eastAsia"/>
        </w:rPr>
        <w:t>月，</w:t>
      </w:r>
      <w:r w:rsidRPr="007E478D">
        <w:rPr>
          <w:rFonts w:cs="Arial" w:hint="eastAsia"/>
          <w:kern w:val="0"/>
        </w:rPr>
        <w:t>全市基层人民法院共受理各类案件</w:t>
      </w:r>
      <w:r>
        <w:rPr>
          <w:rFonts w:cs="Arial" w:hint="eastAsia"/>
          <w:kern w:val="0"/>
        </w:rPr>
        <w:t>47417</w:t>
      </w:r>
      <w:r w:rsidRPr="007E478D">
        <w:rPr>
          <w:rFonts w:cs="Arial" w:hint="eastAsia"/>
          <w:kern w:val="0"/>
        </w:rPr>
        <w:t>件，同比增加了</w:t>
      </w:r>
      <w:r>
        <w:rPr>
          <w:rFonts w:cs="Arial" w:hint="eastAsia"/>
          <w:kern w:val="0"/>
        </w:rPr>
        <w:t>7553</w:t>
      </w:r>
      <w:r w:rsidRPr="007E478D">
        <w:rPr>
          <w:rFonts w:cs="Arial" w:hint="eastAsia"/>
          <w:kern w:val="0"/>
        </w:rPr>
        <w:t>件；共审执结各类案件</w:t>
      </w:r>
      <w:r>
        <w:rPr>
          <w:rFonts w:cs="Arial" w:hint="eastAsia"/>
          <w:kern w:val="0"/>
        </w:rPr>
        <w:t>22740</w:t>
      </w:r>
      <w:r w:rsidRPr="007E478D">
        <w:rPr>
          <w:rFonts w:cs="Arial" w:hint="eastAsia"/>
          <w:kern w:val="0"/>
        </w:rPr>
        <w:t>件，同比增加了</w:t>
      </w:r>
      <w:r>
        <w:rPr>
          <w:rFonts w:cs="Arial" w:hint="eastAsia"/>
          <w:kern w:val="0"/>
        </w:rPr>
        <w:t>560</w:t>
      </w:r>
      <w:r w:rsidRPr="007E478D">
        <w:rPr>
          <w:rFonts w:cs="Arial" w:hint="eastAsia"/>
          <w:kern w:val="0"/>
        </w:rPr>
        <w:t>件；结案率</w:t>
      </w:r>
      <w:r>
        <w:rPr>
          <w:rFonts w:cs="Arial" w:hint="eastAsia"/>
          <w:kern w:val="0"/>
        </w:rPr>
        <w:t>47.96</w:t>
      </w:r>
      <w:r w:rsidRPr="007E478D">
        <w:rPr>
          <w:rFonts w:cs="Arial" w:hint="eastAsia"/>
          <w:kern w:val="0"/>
        </w:rPr>
        <w:t>%，同比下降</w:t>
      </w:r>
      <w:r>
        <w:rPr>
          <w:rFonts w:cs="Arial" w:hint="eastAsia"/>
          <w:kern w:val="0"/>
        </w:rPr>
        <w:t>7.68</w:t>
      </w:r>
      <w:r w:rsidRPr="007E478D">
        <w:rPr>
          <w:rFonts w:cs="Arial" w:hint="eastAsia"/>
          <w:kern w:val="0"/>
        </w:rPr>
        <w:t>个百分点。</w:t>
      </w:r>
    </w:p>
    <w:p w:rsidR="00FC4AD8" w:rsidRPr="007E478D" w:rsidRDefault="00FC4AD8" w:rsidP="00FC4AD8">
      <w:pPr>
        <w:spacing w:beforeLines="50" w:line="360" w:lineRule="auto"/>
        <w:jc w:val="left"/>
        <w:rPr>
          <w:rFonts w:cs="Arial" w:hint="eastAsia"/>
          <w:kern w:val="0"/>
        </w:rPr>
      </w:pPr>
      <w:r>
        <w:rPr>
          <w:rFonts w:hint="eastAsia"/>
          <w:noProof/>
        </w:rPr>
        <w:drawing>
          <wp:inline distT="0" distB="0" distL="0" distR="0">
            <wp:extent cx="5685155" cy="3190240"/>
            <wp:effectExtent l="0" t="0" r="0" b="0"/>
            <wp:docPr id="1" name="对象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rFonts w:hint="eastAsia"/>
        </w:rPr>
        <w:t xml:space="preserve">    </w:t>
      </w:r>
      <w:r w:rsidRPr="007E478D">
        <w:rPr>
          <w:rFonts w:cs="Arial" w:hint="eastAsia"/>
          <w:kern w:val="0"/>
        </w:rPr>
        <w:t>刑事案件受理</w:t>
      </w:r>
      <w:r>
        <w:rPr>
          <w:rFonts w:cs="Arial" w:hint="eastAsia"/>
          <w:kern w:val="0"/>
        </w:rPr>
        <w:t>3290</w:t>
      </w:r>
      <w:r w:rsidRPr="007E478D">
        <w:rPr>
          <w:rFonts w:cs="Arial" w:hint="eastAsia"/>
          <w:kern w:val="0"/>
        </w:rPr>
        <w:t>件，同比增加了</w:t>
      </w:r>
      <w:r>
        <w:rPr>
          <w:rFonts w:cs="Arial" w:hint="eastAsia"/>
          <w:kern w:val="0"/>
        </w:rPr>
        <w:t>518</w:t>
      </w:r>
      <w:r w:rsidRPr="007E478D">
        <w:rPr>
          <w:rFonts w:cs="Arial" w:hint="eastAsia"/>
          <w:kern w:val="0"/>
        </w:rPr>
        <w:t>件；已结</w:t>
      </w:r>
      <w:r>
        <w:rPr>
          <w:rFonts w:cs="Arial" w:hint="eastAsia"/>
          <w:kern w:val="0"/>
        </w:rPr>
        <w:t>2447</w:t>
      </w:r>
      <w:r w:rsidRPr="007E478D">
        <w:rPr>
          <w:rFonts w:cs="Arial" w:hint="eastAsia"/>
          <w:kern w:val="0"/>
        </w:rPr>
        <w:t>件，同比增加了</w:t>
      </w:r>
      <w:r>
        <w:rPr>
          <w:rFonts w:cs="Arial" w:hint="eastAsia"/>
          <w:kern w:val="0"/>
        </w:rPr>
        <w:t>349</w:t>
      </w:r>
      <w:r w:rsidRPr="007E478D">
        <w:rPr>
          <w:rFonts w:cs="Arial" w:hint="eastAsia"/>
          <w:kern w:val="0"/>
        </w:rPr>
        <w:t>件；结案率为</w:t>
      </w:r>
      <w:r>
        <w:rPr>
          <w:rFonts w:cs="Arial" w:hint="eastAsia"/>
          <w:kern w:val="0"/>
        </w:rPr>
        <w:t>74.38</w:t>
      </w:r>
      <w:r w:rsidRPr="007E478D">
        <w:rPr>
          <w:rFonts w:cs="Arial" w:hint="eastAsia"/>
          <w:kern w:val="0"/>
        </w:rPr>
        <w:t>%,同比下降了</w:t>
      </w:r>
      <w:r>
        <w:rPr>
          <w:rFonts w:cs="Arial" w:hint="eastAsia"/>
          <w:kern w:val="0"/>
        </w:rPr>
        <w:t>1.31</w:t>
      </w:r>
      <w:r w:rsidRPr="007E478D">
        <w:rPr>
          <w:rFonts w:cs="Arial" w:hint="eastAsia"/>
          <w:kern w:val="0"/>
        </w:rPr>
        <w:t>个百分点。</w:t>
      </w:r>
    </w:p>
    <w:p w:rsidR="00FC4AD8" w:rsidRPr="007E478D" w:rsidRDefault="00FC4AD8" w:rsidP="00FC4AD8">
      <w:pPr>
        <w:spacing w:beforeLines="50" w:line="360" w:lineRule="auto"/>
        <w:ind w:firstLineChars="200" w:firstLine="640"/>
        <w:rPr>
          <w:rFonts w:cs="Arial" w:hint="eastAsia"/>
          <w:kern w:val="0"/>
        </w:rPr>
      </w:pPr>
      <w:r w:rsidRPr="007E478D">
        <w:rPr>
          <w:rFonts w:cs="Arial" w:hint="eastAsia"/>
          <w:kern w:val="0"/>
        </w:rPr>
        <w:lastRenderedPageBreak/>
        <w:t>民事案件受理</w:t>
      </w:r>
      <w:r>
        <w:rPr>
          <w:rFonts w:cs="Arial" w:hint="eastAsia"/>
          <w:kern w:val="0"/>
        </w:rPr>
        <w:t>30007</w:t>
      </w:r>
      <w:r w:rsidRPr="007E478D">
        <w:rPr>
          <w:rFonts w:cs="Arial" w:hint="eastAsia"/>
          <w:kern w:val="0"/>
        </w:rPr>
        <w:t>件，同比增加了</w:t>
      </w:r>
      <w:r>
        <w:rPr>
          <w:rFonts w:cs="Arial" w:hint="eastAsia"/>
          <w:kern w:val="0"/>
        </w:rPr>
        <w:t>1606</w:t>
      </w:r>
      <w:r w:rsidRPr="007E478D">
        <w:rPr>
          <w:rFonts w:cs="Arial" w:hint="eastAsia"/>
          <w:kern w:val="0"/>
        </w:rPr>
        <w:t>件；已结</w:t>
      </w:r>
      <w:r>
        <w:rPr>
          <w:rFonts w:cs="Arial" w:hint="eastAsia"/>
          <w:kern w:val="0"/>
        </w:rPr>
        <w:t>14898</w:t>
      </w:r>
      <w:r w:rsidRPr="007E478D">
        <w:rPr>
          <w:rFonts w:cs="Arial" w:hint="eastAsia"/>
          <w:kern w:val="0"/>
        </w:rPr>
        <w:t>件，同比</w:t>
      </w:r>
      <w:r>
        <w:rPr>
          <w:rFonts w:cs="Arial" w:hint="eastAsia"/>
          <w:kern w:val="0"/>
        </w:rPr>
        <w:t>减少</w:t>
      </w:r>
      <w:r w:rsidRPr="007E478D">
        <w:rPr>
          <w:rFonts w:cs="Arial" w:hint="eastAsia"/>
          <w:kern w:val="0"/>
        </w:rPr>
        <w:t>了</w:t>
      </w:r>
      <w:r>
        <w:rPr>
          <w:rFonts w:cs="Arial" w:hint="eastAsia"/>
          <w:kern w:val="0"/>
        </w:rPr>
        <w:t>186</w:t>
      </w:r>
      <w:r w:rsidRPr="007E478D">
        <w:rPr>
          <w:rFonts w:cs="Arial" w:hint="eastAsia"/>
          <w:kern w:val="0"/>
        </w:rPr>
        <w:t>件；结案率为</w:t>
      </w:r>
      <w:r>
        <w:rPr>
          <w:rFonts w:cs="Arial" w:hint="eastAsia"/>
          <w:kern w:val="0"/>
        </w:rPr>
        <w:t>49.65</w:t>
      </w:r>
      <w:r w:rsidRPr="007E478D">
        <w:rPr>
          <w:rFonts w:cs="Arial" w:hint="eastAsia"/>
          <w:kern w:val="0"/>
        </w:rPr>
        <w:t>%,同比</w:t>
      </w:r>
      <w:r>
        <w:rPr>
          <w:rFonts w:cs="Arial" w:hint="eastAsia"/>
          <w:kern w:val="0"/>
        </w:rPr>
        <w:t>下降</w:t>
      </w:r>
      <w:r w:rsidRPr="007E478D">
        <w:rPr>
          <w:rFonts w:cs="Arial" w:hint="eastAsia"/>
          <w:kern w:val="0"/>
        </w:rPr>
        <w:t>了</w:t>
      </w:r>
      <w:r>
        <w:rPr>
          <w:rFonts w:cs="Arial" w:hint="eastAsia"/>
          <w:kern w:val="0"/>
        </w:rPr>
        <w:t>3.46</w:t>
      </w:r>
      <w:r w:rsidRPr="007E478D">
        <w:rPr>
          <w:rFonts w:cs="Arial" w:hint="eastAsia"/>
          <w:kern w:val="0"/>
        </w:rPr>
        <w:t>个百分点。</w:t>
      </w:r>
    </w:p>
    <w:p w:rsidR="00FC4AD8" w:rsidRDefault="00FC4AD8" w:rsidP="00FC4AD8">
      <w:pPr>
        <w:spacing w:beforeLines="50" w:line="360" w:lineRule="auto"/>
        <w:ind w:firstLineChars="200" w:firstLine="640"/>
        <w:rPr>
          <w:rFonts w:cs="Arial" w:hint="eastAsia"/>
          <w:kern w:val="0"/>
        </w:rPr>
      </w:pPr>
      <w:r w:rsidRPr="007E478D">
        <w:rPr>
          <w:rFonts w:cs="Arial" w:hint="eastAsia"/>
          <w:kern w:val="0"/>
        </w:rPr>
        <w:t>行政案件受理</w:t>
      </w:r>
      <w:r>
        <w:rPr>
          <w:rFonts w:cs="Arial" w:hint="eastAsia"/>
          <w:kern w:val="0"/>
        </w:rPr>
        <w:t>815</w:t>
      </w:r>
      <w:r w:rsidRPr="007E478D">
        <w:rPr>
          <w:rFonts w:cs="Arial" w:hint="eastAsia"/>
          <w:kern w:val="0"/>
        </w:rPr>
        <w:t>件，同比增加了</w:t>
      </w:r>
      <w:r>
        <w:rPr>
          <w:rFonts w:cs="Arial" w:hint="eastAsia"/>
          <w:kern w:val="0"/>
        </w:rPr>
        <w:t>660</w:t>
      </w:r>
      <w:r w:rsidRPr="007E478D">
        <w:rPr>
          <w:rFonts w:cs="Arial" w:hint="eastAsia"/>
          <w:kern w:val="0"/>
        </w:rPr>
        <w:t>件；已结</w:t>
      </w:r>
      <w:r>
        <w:rPr>
          <w:rFonts w:cs="Arial" w:hint="eastAsia"/>
          <w:kern w:val="0"/>
        </w:rPr>
        <w:t>526</w:t>
      </w:r>
      <w:r w:rsidRPr="007E478D">
        <w:rPr>
          <w:rFonts w:cs="Arial" w:hint="eastAsia"/>
          <w:kern w:val="0"/>
        </w:rPr>
        <w:t>件，同比增加了</w:t>
      </w:r>
      <w:r>
        <w:rPr>
          <w:rFonts w:cs="Arial" w:hint="eastAsia"/>
          <w:kern w:val="0"/>
        </w:rPr>
        <w:t>434</w:t>
      </w:r>
      <w:r w:rsidRPr="007E478D">
        <w:rPr>
          <w:rFonts w:cs="Arial" w:hint="eastAsia"/>
          <w:kern w:val="0"/>
        </w:rPr>
        <w:t>件；结案率为</w:t>
      </w:r>
      <w:r>
        <w:rPr>
          <w:rFonts w:cs="Arial" w:hint="eastAsia"/>
          <w:kern w:val="0"/>
        </w:rPr>
        <w:t>64.54</w:t>
      </w:r>
      <w:r w:rsidRPr="007E478D">
        <w:rPr>
          <w:rFonts w:cs="Arial" w:hint="eastAsia"/>
          <w:kern w:val="0"/>
        </w:rPr>
        <w:t>%,同比</w:t>
      </w:r>
      <w:r>
        <w:rPr>
          <w:rFonts w:cs="Arial" w:hint="eastAsia"/>
          <w:kern w:val="0"/>
        </w:rPr>
        <w:t>上升</w:t>
      </w:r>
      <w:r w:rsidRPr="007E478D">
        <w:rPr>
          <w:rFonts w:cs="Arial" w:hint="eastAsia"/>
          <w:kern w:val="0"/>
        </w:rPr>
        <w:t>了</w:t>
      </w:r>
      <w:r>
        <w:rPr>
          <w:rFonts w:cs="Arial" w:hint="eastAsia"/>
          <w:kern w:val="0"/>
        </w:rPr>
        <w:t>5.19</w:t>
      </w:r>
      <w:r w:rsidRPr="007E478D">
        <w:rPr>
          <w:rFonts w:cs="Arial" w:hint="eastAsia"/>
          <w:kern w:val="0"/>
        </w:rPr>
        <w:t>个百分点。</w:t>
      </w:r>
    </w:p>
    <w:p w:rsidR="00FC4AD8" w:rsidRPr="007E478D" w:rsidRDefault="00FC4AD8" w:rsidP="00FC4AD8">
      <w:pPr>
        <w:spacing w:beforeLines="50" w:line="360" w:lineRule="auto"/>
        <w:ind w:firstLineChars="200" w:firstLine="640"/>
        <w:rPr>
          <w:rFonts w:cs="Arial" w:hint="eastAsia"/>
          <w:kern w:val="0"/>
        </w:rPr>
      </w:pPr>
      <w:r>
        <w:rPr>
          <w:rFonts w:cs="Arial" w:hint="eastAsia"/>
          <w:kern w:val="0"/>
        </w:rPr>
        <w:t>赔偿</w:t>
      </w:r>
      <w:r w:rsidRPr="007E478D">
        <w:rPr>
          <w:rFonts w:cs="Arial" w:hint="eastAsia"/>
          <w:kern w:val="0"/>
        </w:rPr>
        <w:t>案件受理</w:t>
      </w:r>
      <w:r>
        <w:rPr>
          <w:rFonts w:cs="Arial" w:hint="eastAsia"/>
          <w:kern w:val="0"/>
        </w:rPr>
        <w:t>2</w:t>
      </w:r>
      <w:r w:rsidRPr="007E478D">
        <w:rPr>
          <w:rFonts w:cs="Arial" w:hint="eastAsia"/>
          <w:kern w:val="0"/>
        </w:rPr>
        <w:t>件，同比</w:t>
      </w:r>
      <w:r>
        <w:rPr>
          <w:rFonts w:cs="Arial" w:hint="eastAsia"/>
          <w:kern w:val="0"/>
        </w:rPr>
        <w:t>减少</w:t>
      </w:r>
      <w:r w:rsidRPr="007E478D">
        <w:rPr>
          <w:rFonts w:cs="Arial" w:hint="eastAsia"/>
          <w:kern w:val="0"/>
        </w:rPr>
        <w:t>了</w:t>
      </w:r>
      <w:r>
        <w:rPr>
          <w:rFonts w:cs="Arial" w:hint="eastAsia"/>
          <w:kern w:val="0"/>
        </w:rPr>
        <w:t>1</w:t>
      </w:r>
      <w:r w:rsidRPr="007E478D">
        <w:rPr>
          <w:rFonts w:cs="Arial" w:hint="eastAsia"/>
          <w:kern w:val="0"/>
        </w:rPr>
        <w:t>件；已结</w:t>
      </w:r>
      <w:r>
        <w:rPr>
          <w:rFonts w:cs="Arial" w:hint="eastAsia"/>
          <w:kern w:val="0"/>
        </w:rPr>
        <w:t>2</w:t>
      </w:r>
      <w:r w:rsidRPr="007E478D">
        <w:rPr>
          <w:rFonts w:cs="Arial" w:hint="eastAsia"/>
          <w:kern w:val="0"/>
        </w:rPr>
        <w:t>件，同比增加了</w:t>
      </w:r>
      <w:r>
        <w:rPr>
          <w:rFonts w:cs="Arial" w:hint="eastAsia"/>
          <w:kern w:val="0"/>
        </w:rPr>
        <w:t>1</w:t>
      </w:r>
      <w:r w:rsidRPr="007E478D">
        <w:rPr>
          <w:rFonts w:cs="Arial" w:hint="eastAsia"/>
          <w:kern w:val="0"/>
        </w:rPr>
        <w:t>件；结案率为</w:t>
      </w:r>
      <w:r>
        <w:rPr>
          <w:rFonts w:cs="Arial" w:hint="eastAsia"/>
          <w:kern w:val="0"/>
        </w:rPr>
        <w:t>100</w:t>
      </w:r>
      <w:r w:rsidRPr="007E478D">
        <w:rPr>
          <w:rFonts w:cs="Arial" w:hint="eastAsia"/>
          <w:kern w:val="0"/>
        </w:rPr>
        <w:t>%,同比</w:t>
      </w:r>
      <w:r>
        <w:rPr>
          <w:rFonts w:cs="Arial" w:hint="eastAsia"/>
          <w:kern w:val="0"/>
        </w:rPr>
        <w:t>上升</w:t>
      </w:r>
      <w:r w:rsidRPr="007E478D">
        <w:rPr>
          <w:rFonts w:cs="Arial" w:hint="eastAsia"/>
          <w:kern w:val="0"/>
        </w:rPr>
        <w:t>了</w:t>
      </w:r>
      <w:r>
        <w:rPr>
          <w:rFonts w:cs="Arial" w:hint="eastAsia"/>
          <w:kern w:val="0"/>
        </w:rPr>
        <w:t>66.67</w:t>
      </w:r>
      <w:r w:rsidRPr="007E478D">
        <w:rPr>
          <w:rFonts w:cs="Arial" w:hint="eastAsia"/>
          <w:kern w:val="0"/>
        </w:rPr>
        <w:t>个百分点。</w:t>
      </w:r>
    </w:p>
    <w:p w:rsidR="00FC4AD8" w:rsidRPr="007E478D" w:rsidRDefault="00FC4AD8" w:rsidP="00FC4AD8">
      <w:pPr>
        <w:spacing w:beforeLines="50" w:line="360" w:lineRule="auto"/>
        <w:ind w:firstLineChars="198" w:firstLine="634"/>
        <w:rPr>
          <w:rFonts w:cs="Arial" w:hint="eastAsia"/>
          <w:kern w:val="0"/>
        </w:rPr>
      </w:pPr>
      <w:r w:rsidRPr="007E478D">
        <w:rPr>
          <w:rFonts w:cs="Arial" w:hint="eastAsia"/>
          <w:kern w:val="0"/>
        </w:rPr>
        <w:t>执行案件受理</w:t>
      </w:r>
      <w:r>
        <w:rPr>
          <w:rFonts w:cs="Arial" w:hint="eastAsia"/>
          <w:kern w:val="0"/>
        </w:rPr>
        <w:t>13245</w:t>
      </w:r>
      <w:r w:rsidRPr="007E478D">
        <w:rPr>
          <w:rFonts w:cs="Arial" w:hint="eastAsia"/>
          <w:kern w:val="0"/>
        </w:rPr>
        <w:t>件，同比增加了</w:t>
      </w:r>
      <w:r>
        <w:rPr>
          <w:rFonts w:cs="Arial" w:hint="eastAsia"/>
          <w:kern w:val="0"/>
        </w:rPr>
        <w:t>4766</w:t>
      </w:r>
      <w:r w:rsidRPr="007E478D">
        <w:rPr>
          <w:rFonts w:cs="Arial" w:hint="eastAsia"/>
          <w:kern w:val="0"/>
        </w:rPr>
        <w:t>件；已结</w:t>
      </w:r>
      <w:r>
        <w:rPr>
          <w:rFonts w:cs="Arial" w:hint="eastAsia"/>
          <w:kern w:val="0"/>
        </w:rPr>
        <w:t>4824</w:t>
      </w:r>
      <w:r w:rsidRPr="007E478D">
        <w:rPr>
          <w:rFonts w:cs="Arial" w:hint="eastAsia"/>
          <w:kern w:val="0"/>
        </w:rPr>
        <w:t>件，同比</w:t>
      </w:r>
      <w:r>
        <w:rPr>
          <w:rFonts w:cs="Arial" w:hint="eastAsia"/>
          <w:kern w:val="0"/>
        </w:rPr>
        <w:t>减少</w:t>
      </w:r>
      <w:r w:rsidRPr="007E478D">
        <w:rPr>
          <w:rFonts w:cs="Arial" w:hint="eastAsia"/>
          <w:kern w:val="0"/>
        </w:rPr>
        <w:t>了</w:t>
      </w:r>
      <w:r>
        <w:rPr>
          <w:rFonts w:cs="Arial" w:hint="eastAsia"/>
          <w:kern w:val="0"/>
        </w:rPr>
        <w:t>58</w:t>
      </w:r>
      <w:r w:rsidRPr="007E478D">
        <w:rPr>
          <w:rFonts w:cs="Arial" w:hint="eastAsia"/>
          <w:kern w:val="0"/>
        </w:rPr>
        <w:t>件；结案率为</w:t>
      </w:r>
      <w:r>
        <w:rPr>
          <w:rFonts w:cs="Arial" w:hint="eastAsia"/>
          <w:kern w:val="0"/>
        </w:rPr>
        <w:t>36.42</w:t>
      </w:r>
      <w:r w:rsidRPr="007E478D">
        <w:rPr>
          <w:rFonts w:cs="Arial" w:hint="eastAsia"/>
          <w:kern w:val="0"/>
        </w:rPr>
        <w:t>%,同比下降了</w:t>
      </w:r>
      <w:r>
        <w:rPr>
          <w:rFonts w:cs="Arial" w:hint="eastAsia"/>
          <w:kern w:val="0"/>
        </w:rPr>
        <w:t>21.16</w:t>
      </w:r>
      <w:r w:rsidRPr="007E478D">
        <w:rPr>
          <w:rFonts w:cs="Arial" w:hint="eastAsia"/>
          <w:kern w:val="0"/>
        </w:rPr>
        <w:t>个百分点。</w:t>
      </w:r>
    </w:p>
    <w:p w:rsidR="00FC4AD8" w:rsidRPr="007E478D" w:rsidRDefault="00FC4AD8" w:rsidP="00FC4AD8">
      <w:pPr>
        <w:snapToGrid w:val="0"/>
        <w:spacing w:beforeLines="50" w:line="360" w:lineRule="auto"/>
        <w:ind w:firstLineChars="200" w:firstLine="640"/>
        <w:rPr>
          <w:rFonts w:cs="Arial" w:hint="eastAsia"/>
          <w:kern w:val="0"/>
        </w:rPr>
      </w:pPr>
      <w:r w:rsidRPr="007E478D">
        <w:rPr>
          <w:rFonts w:cs="Arial" w:hint="eastAsia"/>
          <w:kern w:val="0"/>
        </w:rPr>
        <w:t>再审审查与审判监督</w:t>
      </w:r>
      <w:r>
        <w:rPr>
          <w:rFonts w:cs="Arial" w:hint="eastAsia"/>
          <w:kern w:val="0"/>
        </w:rPr>
        <w:t>案件</w:t>
      </w:r>
      <w:r w:rsidRPr="007E478D">
        <w:rPr>
          <w:rFonts w:cs="Arial" w:hint="eastAsia"/>
          <w:kern w:val="0"/>
        </w:rPr>
        <w:t>受理</w:t>
      </w:r>
      <w:r>
        <w:rPr>
          <w:rFonts w:cs="Arial" w:hint="eastAsia"/>
          <w:kern w:val="0"/>
        </w:rPr>
        <w:t>58</w:t>
      </w:r>
      <w:r w:rsidRPr="007E478D">
        <w:rPr>
          <w:rFonts w:cs="Arial" w:hint="eastAsia"/>
          <w:kern w:val="0"/>
        </w:rPr>
        <w:t>件，同比增加了</w:t>
      </w:r>
      <w:r>
        <w:rPr>
          <w:rFonts w:cs="Arial" w:hint="eastAsia"/>
          <w:kern w:val="0"/>
        </w:rPr>
        <w:t>4</w:t>
      </w:r>
      <w:r w:rsidRPr="007E478D">
        <w:rPr>
          <w:rFonts w:cs="Arial" w:hint="eastAsia"/>
          <w:kern w:val="0"/>
        </w:rPr>
        <w:t>件；已结</w:t>
      </w:r>
      <w:r>
        <w:rPr>
          <w:rFonts w:cs="Arial" w:hint="eastAsia"/>
          <w:kern w:val="0"/>
        </w:rPr>
        <w:t>43</w:t>
      </w:r>
      <w:r w:rsidRPr="007E478D">
        <w:rPr>
          <w:rFonts w:cs="Arial" w:hint="eastAsia"/>
          <w:kern w:val="0"/>
        </w:rPr>
        <w:t>件，同比增加了</w:t>
      </w:r>
      <w:r>
        <w:rPr>
          <w:rFonts w:cs="Arial" w:hint="eastAsia"/>
          <w:kern w:val="0"/>
        </w:rPr>
        <w:t>20</w:t>
      </w:r>
      <w:r w:rsidRPr="007E478D">
        <w:rPr>
          <w:rFonts w:cs="Arial" w:hint="eastAsia"/>
          <w:kern w:val="0"/>
        </w:rPr>
        <w:t>件；结案率为</w:t>
      </w:r>
      <w:r>
        <w:rPr>
          <w:rFonts w:cs="Arial" w:hint="eastAsia"/>
          <w:kern w:val="0"/>
        </w:rPr>
        <w:t>74.14</w:t>
      </w:r>
      <w:r w:rsidRPr="007E478D">
        <w:rPr>
          <w:rFonts w:cs="Arial" w:hint="eastAsia"/>
          <w:kern w:val="0"/>
        </w:rPr>
        <w:t>%，同比上升了</w:t>
      </w:r>
      <w:r>
        <w:rPr>
          <w:rFonts w:cs="Arial" w:hint="eastAsia"/>
          <w:kern w:val="0"/>
        </w:rPr>
        <w:t>31.55</w:t>
      </w:r>
      <w:r w:rsidRPr="007E478D">
        <w:rPr>
          <w:rFonts w:cs="Arial" w:hint="eastAsia"/>
          <w:kern w:val="0"/>
        </w:rPr>
        <w:t>个百分点。</w:t>
      </w:r>
    </w:p>
    <w:p w:rsidR="00FC4AD8" w:rsidRDefault="00FC4AD8" w:rsidP="00FC4AD8">
      <w:pPr>
        <w:snapToGrid w:val="0"/>
        <w:spacing w:line="360" w:lineRule="auto"/>
        <w:jc w:val="left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446395" cy="4134485"/>
            <wp:effectExtent l="0" t="0" r="0" b="0"/>
            <wp:docPr id="2" name="对象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C4AD8" w:rsidRPr="007E478D" w:rsidRDefault="00FC4AD8" w:rsidP="00FC4AD8">
      <w:pPr>
        <w:snapToGrid w:val="0"/>
        <w:spacing w:line="360" w:lineRule="auto"/>
        <w:jc w:val="left"/>
        <w:rPr>
          <w:rFonts w:ascii="楷体_GB2312" w:eastAsia="楷体_GB2312" w:hAnsi="仿宋" w:hint="eastAsia"/>
          <w:b/>
        </w:rPr>
      </w:pPr>
      <w:r>
        <w:rPr>
          <w:rFonts w:hint="eastAsia"/>
        </w:rPr>
        <w:t xml:space="preserve"> </w:t>
      </w:r>
      <w:r>
        <w:rPr>
          <w:rFonts w:ascii="楷体" w:eastAsia="楷体" w:hAnsi="楷体" w:hint="eastAsia"/>
        </w:rPr>
        <w:t xml:space="preserve">   </w:t>
      </w:r>
      <w:r w:rsidRPr="007E478D">
        <w:rPr>
          <w:rFonts w:ascii="楷体_GB2312" w:eastAsia="楷体_GB2312" w:hAnsi="楷体" w:hint="eastAsia"/>
          <w:b/>
        </w:rPr>
        <w:t>2、各院收结案情况。</w:t>
      </w:r>
    </w:p>
    <w:p w:rsidR="00FC4AD8" w:rsidRPr="00D8046F" w:rsidRDefault="00FC4AD8" w:rsidP="00FC4AD8">
      <w:pPr>
        <w:snapToGrid w:val="0"/>
        <w:spacing w:line="360" w:lineRule="auto"/>
        <w:ind w:firstLine="588"/>
        <w:jc w:val="left"/>
        <w:rPr>
          <w:rFonts w:hAnsi="仿宋" w:hint="eastAsia"/>
        </w:rPr>
      </w:pPr>
      <w:r w:rsidRPr="00D8046F">
        <w:rPr>
          <w:rFonts w:hAnsi="仿宋" w:hint="eastAsia"/>
        </w:rPr>
        <w:t>2015年</w:t>
      </w:r>
      <w:r>
        <w:rPr>
          <w:rFonts w:hAnsi="仿宋" w:hint="eastAsia"/>
        </w:rPr>
        <w:t>上半年</w:t>
      </w:r>
      <w:r w:rsidRPr="00D8046F">
        <w:rPr>
          <w:rFonts w:hAnsi="仿宋" w:hint="eastAsia"/>
        </w:rPr>
        <w:t>，全市基层法院受理案件47417件，审、执结案件22740件，其中农安、德惠法院结案量占全市基层法院结案量比重较大，</w:t>
      </w:r>
      <w:proofErr w:type="gramStart"/>
      <w:r w:rsidRPr="00D8046F">
        <w:rPr>
          <w:rFonts w:hAnsi="仿宋" w:hint="eastAsia"/>
        </w:rPr>
        <w:t>结案占</w:t>
      </w:r>
      <w:proofErr w:type="gramEnd"/>
      <w:r w:rsidRPr="00D8046F">
        <w:rPr>
          <w:rFonts w:hAnsi="仿宋" w:hint="eastAsia"/>
        </w:rPr>
        <w:t>比分别为16.74%，15.48%；结案率超50%的法院有宽城、农安、德惠、双阳、</w:t>
      </w:r>
      <w:proofErr w:type="gramStart"/>
      <w:r w:rsidRPr="00D8046F">
        <w:rPr>
          <w:rFonts w:hAnsi="仿宋" w:hint="eastAsia"/>
        </w:rPr>
        <w:t>汽开法院</w:t>
      </w:r>
      <w:proofErr w:type="gramEnd"/>
      <w:r w:rsidRPr="00D8046F">
        <w:rPr>
          <w:rFonts w:hAnsi="仿宋" w:hint="eastAsia"/>
        </w:rPr>
        <w:t>，结案率分别为50.20%、56.50%、55.97%、53.70%、51.83%。</w:t>
      </w:r>
    </w:p>
    <w:p w:rsidR="00FC4AD8" w:rsidRPr="00D8046F" w:rsidRDefault="00FC4AD8" w:rsidP="00FC4AD8">
      <w:pPr>
        <w:snapToGrid w:val="0"/>
        <w:spacing w:line="360" w:lineRule="auto"/>
        <w:jc w:val="center"/>
        <w:rPr>
          <w:rFonts w:ascii="仿宋" w:eastAsia="仿宋" w:hAnsi="仿宋" w:hint="eastAsia"/>
          <w:b/>
        </w:rPr>
      </w:pPr>
      <w:r w:rsidRPr="00D8046F">
        <w:rPr>
          <w:rFonts w:ascii="仿宋" w:eastAsia="仿宋" w:hAnsi="仿宋"/>
          <w:b/>
        </w:rPr>
        <w:t>各</w:t>
      </w:r>
      <w:r w:rsidRPr="00D8046F">
        <w:rPr>
          <w:rFonts w:ascii="仿宋" w:eastAsia="仿宋" w:hAnsi="仿宋" w:hint="eastAsia"/>
          <w:b/>
        </w:rPr>
        <w:t>院审理</w:t>
      </w:r>
      <w:r w:rsidRPr="00D8046F">
        <w:rPr>
          <w:rFonts w:ascii="仿宋" w:eastAsia="仿宋" w:hAnsi="仿宋"/>
          <w:b/>
        </w:rPr>
        <w:t>情况统计表</w:t>
      </w:r>
      <w:r w:rsidRPr="00D8046F">
        <w:rPr>
          <w:rFonts w:ascii="仿宋" w:eastAsia="仿宋" w:hAnsi="仿宋" w:hint="eastAsia"/>
          <w:b/>
        </w:rPr>
        <w:t>（表一）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498"/>
        <w:gridCol w:w="576"/>
        <w:gridCol w:w="617"/>
        <w:gridCol w:w="537"/>
        <w:gridCol w:w="617"/>
        <w:gridCol w:w="577"/>
        <w:gridCol w:w="617"/>
        <w:gridCol w:w="577"/>
        <w:gridCol w:w="617"/>
        <w:gridCol w:w="498"/>
        <w:gridCol w:w="819"/>
        <w:gridCol w:w="747"/>
        <w:gridCol w:w="707"/>
        <w:gridCol w:w="667"/>
      </w:tblGrid>
      <w:tr w:rsidR="00FC4AD8" w:rsidRPr="00D8046F" w:rsidTr="00E16658">
        <w:trPr>
          <w:trHeight w:val="86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C4AD8" w:rsidRPr="00D8046F" w:rsidRDefault="00FC4AD8" w:rsidP="00E16658">
            <w:pPr>
              <w:jc w:val="center"/>
              <w:rPr>
                <w:rFonts w:cs="Arial" w:hint="eastAsia"/>
                <w:b/>
                <w:bCs/>
                <w:snapToGrid w:val="0"/>
                <w:spacing w:val="-20"/>
                <w:sz w:val="18"/>
                <w:szCs w:val="18"/>
              </w:rPr>
            </w:pPr>
            <w:r w:rsidRPr="00D8046F">
              <w:rPr>
                <w:rFonts w:cs="Arial" w:hint="eastAsia"/>
                <w:b/>
                <w:bCs/>
                <w:snapToGrid w:val="0"/>
                <w:spacing w:val="-20"/>
                <w:sz w:val="18"/>
                <w:szCs w:val="18"/>
              </w:rPr>
              <w:t>序号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widowControl/>
              <w:jc w:val="center"/>
              <w:rPr>
                <w:rFonts w:ascii="宋体" w:cs="Arial"/>
                <w:b/>
                <w:bCs/>
                <w:snapToGrid w:val="0"/>
                <w:spacing w:val="-20"/>
                <w:kern w:val="0"/>
                <w:sz w:val="18"/>
                <w:szCs w:val="18"/>
              </w:rPr>
            </w:pPr>
            <w:r w:rsidRPr="00D8046F">
              <w:rPr>
                <w:rFonts w:ascii="宋体" w:cs="Arial" w:hint="eastAsia"/>
                <w:b/>
                <w:bCs/>
                <w:snapToGrid w:val="0"/>
                <w:spacing w:val="-20"/>
                <w:kern w:val="0"/>
                <w:sz w:val="18"/>
                <w:szCs w:val="18"/>
              </w:rPr>
              <w:t>法院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widowControl/>
              <w:jc w:val="center"/>
              <w:rPr>
                <w:rFonts w:ascii="宋体" w:cs="Arial"/>
                <w:b/>
                <w:bCs/>
                <w:snapToGrid w:val="0"/>
                <w:spacing w:val="-20"/>
                <w:kern w:val="0"/>
                <w:sz w:val="18"/>
                <w:szCs w:val="18"/>
              </w:rPr>
            </w:pPr>
            <w:r w:rsidRPr="00D8046F">
              <w:rPr>
                <w:rFonts w:ascii="宋体" w:cs="Arial" w:hint="eastAsia"/>
                <w:b/>
                <w:bCs/>
                <w:snapToGrid w:val="0"/>
                <w:spacing w:val="-20"/>
                <w:kern w:val="0"/>
                <w:sz w:val="18"/>
                <w:szCs w:val="18"/>
              </w:rPr>
              <w:t>旧存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widowControl/>
              <w:jc w:val="center"/>
              <w:rPr>
                <w:rFonts w:ascii="宋体" w:cs="Arial"/>
                <w:b/>
                <w:bCs/>
                <w:snapToGrid w:val="0"/>
                <w:spacing w:val="-20"/>
                <w:kern w:val="0"/>
                <w:sz w:val="18"/>
                <w:szCs w:val="18"/>
              </w:rPr>
            </w:pPr>
            <w:r w:rsidRPr="00D8046F">
              <w:rPr>
                <w:rFonts w:ascii="宋体" w:cs="Arial" w:hint="eastAsia"/>
                <w:b/>
                <w:bCs/>
                <w:snapToGrid w:val="0"/>
                <w:spacing w:val="-20"/>
                <w:kern w:val="0"/>
                <w:sz w:val="18"/>
                <w:szCs w:val="18"/>
              </w:rPr>
              <w:t>同比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widowControl/>
              <w:jc w:val="center"/>
              <w:rPr>
                <w:rFonts w:ascii="宋体" w:cs="Arial"/>
                <w:b/>
                <w:bCs/>
                <w:snapToGrid w:val="0"/>
                <w:spacing w:val="-20"/>
                <w:kern w:val="0"/>
                <w:sz w:val="18"/>
                <w:szCs w:val="18"/>
              </w:rPr>
            </w:pPr>
            <w:r w:rsidRPr="00D8046F">
              <w:rPr>
                <w:rFonts w:ascii="宋体" w:cs="Arial" w:hint="eastAsia"/>
                <w:b/>
                <w:bCs/>
                <w:snapToGrid w:val="0"/>
                <w:spacing w:val="-20"/>
                <w:kern w:val="0"/>
                <w:sz w:val="18"/>
                <w:szCs w:val="18"/>
              </w:rPr>
              <w:t>新收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widowControl/>
              <w:jc w:val="center"/>
              <w:rPr>
                <w:rFonts w:ascii="宋体" w:cs="Arial"/>
                <w:b/>
                <w:bCs/>
                <w:snapToGrid w:val="0"/>
                <w:spacing w:val="-20"/>
                <w:kern w:val="0"/>
                <w:sz w:val="18"/>
                <w:szCs w:val="18"/>
              </w:rPr>
            </w:pPr>
            <w:r w:rsidRPr="00D8046F">
              <w:rPr>
                <w:rFonts w:ascii="宋体" w:cs="Arial" w:hint="eastAsia"/>
                <w:b/>
                <w:bCs/>
                <w:snapToGrid w:val="0"/>
                <w:spacing w:val="-20"/>
                <w:kern w:val="0"/>
                <w:sz w:val="18"/>
                <w:szCs w:val="18"/>
              </w:rPr>
              <w:t>同比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widowControl/>
              <w:jc w:val="center"/>
              <w:rPr>
                <w:rFonts w:ascii="宋体" w:cs="Arial"/>
                <w:b/>
                <w:bCs/>
                <w:snapToGrid w:val="0"/>
                <w:spacing w:val="-20"/>
                <w:kern w:val="0"/>
                <w:sz w:val="18"/>
                <w:szCs w:val="18"/>
              </w:rPr>
            </w:pPr>
            <w:r w:rsidRPr="00D8046F">
              <w:rPr>
                <w:rFonts w:ascii="宋体" w:cs="Arial" w:hint="eastAsia"/>
                <w:b/>
                <w:bCs/>
                <w:snapToGrid w:val="0"/>
                <w:spacing w:val="-20"/>
                <w:kern w:val="0"/>
                <w:sz w:val="18"/>
                <w:szCs w:val="18"/>
              </w:rPr>
              <w:t>未结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widowControl/>
              <w:jc w:val="center"/>
              <w:rPr>
                <w:rFonts w:ascii="宋体" w:cs="Arial"/>
                <w:b/>
                <w:bCs/>
                <w:snapToGrid w:val="0"/>
                <w:spacing w:val="-20"/>
                <w:kern w:val="0"/>
                <w:sz w:val="18"/>
                <w:szCs w:val="18"/>
              </w:rPr>
            </w:pPr>
            <w:r w:rsidRPr="00D8046F">
              <w:rPr>
                <w:rFonts w:ascii="宋体" w:cs="Arial" w:hint="eastAsia"/>
                <w:b/>
                <w:bCs/>
                <w:snapToGrid w:val="0"/>
                <w:spacing w:val="-20"/>
                <w:kern w:val="0"/>
                <w:sz w:val="18"/>
                <w:szCs w:val="18"/>
              </w:rPr>
              <w:t>同比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widowControl/>
              <w:jc w:val="center"/>
              <w:rPr>
                <w:rFonts w:ascii="宋体" w:cs="Arial"/>
                <w:b/>
                <w:bCs/>
                <w:snapToGrid w:val="0"/>
                <w:spacing w:val="-20"/>
                <w:kern w:val="0"/>
                <w:sz w:val="18"/>
                <w:szCs w:val="18"/>
              </w:rPr>
            </w:pPr>
            <w:r w:rsidRPr="00D8046F">
              <w:rPr>
                <w:rFonts w:ascii="宋体" w:cs="Arial" w:hint="eastAsia"/>
                <w:b/>
                <w:bCs/>
                <w:snapToGrid w:val="0"/>
                <w:spacing w:val="-20"/>
                <w:kern w:val="0"/>
                <w:sz w:val="18"/>
                <w:szCs w:val="18"/>
              </w:rPr>
              <w:t>已结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widowControl/>
              <w:jc w:val="center"/>
              <w:rPr>
                <w:rFonts w:ascii="宋体" w:cs="Arial"/>
                <w:b/>
                <w:bCs/>
                <w:snapToGrid w:val="0"/>
                <w:spacing w:val="-20"/>
                <w:kern w:val="0"/>
                <w:sz w:val="18"/>
                <w:szCs w:val="18"/>
              </w:rPr>
            </w:pPr>
            <w:r w:rsidRPr="00D8046F">
              <w:rPr>
                <w:rFonts w:ascii="宋体" w:cs="Arial" w:hint="eastAsia"/>
                <w:b/>
                <w:bCs/>
                <w:snapToGrid w:val="0"/>
                <w:spacing w:val="-20"/>
                <w:kern w:val="0"/>
                <w:sz w:val="18"/>
                <w:szCs w:val="18"/>
              </w:rPr>
              <w:t>同比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46F">
              <w:rPr>
                <w:rFonts w:ascii="Arial" w:hAnsi="Arial" w:cs="Arial"/>
                <w:b/>
                <w:bCs/>
                <w:sz w:val="20"/>
                <w:szCs w:val="20"/>
              </w:rPr>
              <w:t>结案率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宋体" w:cs="Arial"/>
                <w:b/>
                <w:bCs/>
                <w:sz w:val="20"/>
                <w:szCs w:val="20"/>
              </w:rPr>
            </w:pPr>
            <w:r w:rsidRPr="00D8046F">
              <w:rPr>
                <w:rFonts w:cs="Arial" w:hint="eastAsia"/>
                <w:b/>
                <w:bCs/>
                <w:sz w:val="20"/>
                <w:szCs w:val="20"/>
              </w:rPr>
              <w:t>同比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046F">
              <w:rPr>
                <w:rFonts w:ascii="Arial" w:hAnsi="Arial" w:cs="Arial"/>
                <w:b/>
                <w:bCs/>
                <w:sz w:val="20"/>
                <w:szCs w:val="20"/>
              </w:rPr>
              <w:t>结案</w:t>
            </w:r>
            <w:r w:rsidRPr="00D8046F">
              <w:rPr>
                <w:rFonts w:ascii="Arial" w:hAnsi="Arial" w:cs="Arial" w:hint="eastAsia"/>
                <w:b/>
                <w:bCs/>
                <w:sz w:val="20"/>
                <w:szCs w:val="20"/>
              </w:rPr>
              <w:br/>
            </w:r>
            <w:r w:rsidRPr="00D8046F">
              <w:rPr>
                <w:rFonts w:ascii="Arial" w:hAnsi="Arial" w:cs="Arial"/>
                <w:b/>
                <w:bCs/>
                <w:sz w:val="20"/>
                <w:szCs w:val="20"/>
              </w:rPr>
              <w:t>占比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宋体" w:cs="Arial"/>
                <w:b/>
                <w:bCs/>
                <w:sz w:val="20"/>
                <w:szCs w:val="20"/>
              </w:rPr>
            </w:pPr>
            <w:r w:rsidRPr="00D8046F">
              <w:rPr>
                <w:rFonts w:cs="Arial" w:hint="eastAsia"/>
                <w:b/>
                <w:bCs/>
                <w:sz w:val="20"/>
                <w:szCs w:val="20"/>
              </w:rPr>
              <w:t>同比</w:t>
            </w:r>
          </w:p>
        </w:tc>
      </w:tr>
      <w:tr w:rsidR="00FC4AD8" w:rsidRPr="00D8046F" w:rsidTr="00E16658">
        <w:trPr>
          <w:trHeight w:val="554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C4AD8" w:rsidRPr="00D8046F" w:rsidRDefault="00FC4AD8" w:rsidP="00E16658">
            <w:pPr>
              <w:widowControl/>
              <w:jc w:val="center"/>
              <w:rPr>
                <w:rFonts w:ascii="宋体" w:cs="Arial"/>
                <w:snapToGrid w:val="0"/>
                <w:spacing w:val="-20"/>
                <w:kern w:val="0"/>
                <w:sz w:val="18"/>
                <w:szCs w:val="18"/>
              </w:rPr>
            </w:pPr>
            <w:r w:rsidRPr="00D8046F">
              <w:rPr>
                <w:rFonts w:ascii="宋体" w:cs="Arial"/>
                <w:snapToGrid w:val="0"/>
                <w:spacing w:val="-2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宋体" w:cs="Arial"/>
                <w:sz w:val="18"/>
                <w:szCs w:val="18"/>
              </w:rPr>
            </w:pPr>
            <w:r w:rsidRPr="00D8046F">
              <w:rPr>
                <w:rFonts w:ascii="宋体" w:cs="Arial" w:hint="eastAsia"/>
                <w:sz w:val="18"/>
                <w:szCs w:val="18"/>
              </w:rPr>
              <w:t>南关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1140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272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2886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891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2340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1071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1686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41.88%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-13.80%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7.41%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0.23%</w:t>
            </w:r>
          </w:p>
        </w:tc>
      </w:tr>
      <w:tr w:rsidR="00FC4AD8" w:rsidRPr="00D8046F" w:rsidTr="00E16658">
        <w:trPr>
          <w:trHeight w:val="551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C4AD8" w:rsidRPr="00D8046F" w:rsidRDefault="00FC4AD8" w:rsidP="00E16658">
            <w:pPr>
              <w:widowControl/>
              <w:jc w:val="center"/>
              <w:rPr>
                <w:rFonts w:ascii="宋体" w:cs="Arial"/>
                <w:snapToGrid w:val="0"/>
                <w:spacing w:val="-20"/>
                <w:kern w:val="0"/>
                <w:sz w:val="18"/>
                <w:szCs w:val="18"/>
              </w:rPr>
            </w:pPr>
            <w:r w:rsidRPr="00D8046F">
              <w:rPr>
                <w:rFonts w:ascii="宋体" w:cs="Arial"/>
                <w:snapToGrid w:val="0"/>
                <w:spacing w:val="-2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宋体" w:cs="Arial"/>
                <w:sz w:val="18"/>
                <w:szCs w:val="18"/>
              </w:rPr>
            </w:pPr>
            <w:r w:rsidRPr="00D8046F">
              <w:rPr>
                <w:rFonts w:ascii="宋体" w:cs="Arial" w:hint="eastAsia"/>
                <w:sz w:val="18"/>
                <w:szCs w:val="18"/>
              </w:rPr>
              <w:t>宽城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537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182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2539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619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1532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519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1544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282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50.20%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-5.27%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6.79%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1.10%</w:t>
            </w:r>
          </w:p>
        </w:tc>
      </w:tr>
      <w:tr w:rsidR="00FC4AD8" w:rsidRPr="00D8046F" w:rsidTr="00E16658">
        <w:trPr>
          <w:trHeight w:val="514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C4AD8" w:rsidRPr="00D8046F" w:rsidRDefault="00FC4AD8" w:rsidP="00E16658">
            <w:pPr>
              <w:widowControl/>
              <w:jc w:val="center"/>
              <w:rPr>
                <w:rFonts w:ascii="宋体" w:cs="Arial"/>
                <w:snapToGrid w:val="0"/>
                <w:spacing w:val="-20"/>
                <w:kern w:val="0"/>
                <w:sz w:val="18"/>
                <w:szCs w:val="18"/>
              </w:rPr>
            </w:pPr>
            <w:r w:rsidRPr="00D8046F">
              <w:rPr>
                <w:rFonts w:ascii="宋体" w:cs="Arial"/>
                <w:snapToGrid w:val="0"/>
                <w:spacing w:val="-20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宋体" w:cs="Arial"/>
                <w:sz w:val="18"/>
                <w:szCs w:val="18"/>
              </w:rPr>
            </w:pPr>
            <w:r w:rsidRPr="00D8046F">
              <w:rPr>
                <w:rFonts w:ascii="宋体" w:cs="Arial" w:hint="eastAsia"/>
                <w:sz w:val="18"/>
                <w:szCs w:val="18"/>
              </w:rPr>
              <w:t>朝阳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721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220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3529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1111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2348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967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1902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364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44.75%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-7.94%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8.36%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1.43%</w:t>
            </w:r>
          </w:p>
        </w:tc>
      </w:tr>
      <w:tr w:rsidR="00FC4AD8" w:rsidRPr="00D8046F" w:rsidTr="00E16658">
        <w:trPr>
          <w:trHeight w:val="511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C4AD8" w:rsidRPr="00D8046F" w:rsidRDefault="00FC4AD8" w:rsidP="00E16658">
            <w:pPr>
              <w:widowControl/>
              <w:jc w:val="center"/>
              <w:rPr>
                <w:rFonts w:ascii="宋体" w:cs="Arial"/>
                <w:snapToGrid w:val="0"/>
                <w:spacing w:val="-20"/>
                <w:kern w:val="0"/>
                <w:sz w:val="18"/>
                <w:szCs w:val="18"/>
              </w:rPr>
            </w:pPr>
            <w:r w:rsidRPr="00D8046F">
              <w:rPr>
                <w:rFonts w:ascii="宋体" w:cs="Arial"/>
                <w:snapToGrid w:val="0"/>
                <w:spacing w:val="-2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宋体" w:cs="Arial"/>
                <w:sz w:val="18"/>
                <w:szCs w:val="18"/>
              </w:rPr>
            </w:pPr>
            <w:r w:rsidRPr="00D8046F">
              <w:rPr>
                <w:rFonts w:ascii="宋体" w:cs="Arial" w:hint="eastAsia"/>
                <w:sz w:val="18"/>
                <w:szCs w:val="18"/>
              </w:rPr>
              <w:t>二道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263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-140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2258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1152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1478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824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1043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188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41.37%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-15.29%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4.59%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0.73%</w:t>
            </w:r>
          </w:p>
        </w:tc>
      </w:tr>
      <w:tr w:rsidR="00FC4AD8" w:rsidRPr="00D8046F" w:rsidTr="00E16658">
        <w:trPr>
          <w:trHeight w:val="48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C4AD8" w:rsidRPr="00D8046F" w:rsidRDefault="00FC4AD8" w:rsidP="00E16658">
            <w:pPr>
              <w:widowControl/>
              <w:jc w:val="center"/>
              <w:rPr>
                <w:rFonts w:ascii="宋体" w:cs="Arial"/>
                <w:snapToGrid w:val="0"/>
                <w:spacing w:val="-20"/>
                <w:kern w:val="0"/>
                <w:sz w:val="18"/>
                <w:szCs w:val="18"/>
              </w:rPr>
            </w:pPr>
            <w:r w:rsidRPr="00D8046F">
              <w:rPr>
                <w:rFonts w:ascii="宋体" w:cs="Arial"/>
                <w:snapToGrid w:val="0"/>
                <w:spacing w:val="-2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宋体" w:cs="Arial"/>
                <w:sz w:val="18"/>
                <w:szCs w:val="18"/>
              </w:rPr>
            </w:pPr>
            <w:r w:rsidRPr="00D8046F">
              <w:rPr>
                <w:rFonts w:ascii="宋体" w:cs="Arial" w:hint="eastAsia"/>
                <w:sz w:val="18"/>
                <w:szCs w:val="18"/>
              </w:rPr>
              <w:t>绿园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823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730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2204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294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1926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876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1101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148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36.37%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-11.21%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4.84%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0.55%</w:t>
            </w:r>
          </w:p>
        </w:tc>
      </w:tr>
      <w:tr w:rsidR="00FC4AD8" w:rsidRPr="00D8046F" w:rsidTr="00E16658">
        <w:trPr>
          <w:trHeight w:val="43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C4AD8" w:rsidRPr="00D8046F" w:rsidRDefault="00FC4AD8" w:rsidP="00E16658">
            <w:pPr>
              <w:widowControl/>
              <w:jc w:val="center"/>
              <w:rPr>
                <w:rFonts w:ascii="宋体" w:cs="Arial"/>
                <w:snapToGrid w:val="0"/>
                <w:spacing w:val="-20"/>
                <w:kern w:val="0"/>
                <w:sz w:val="18"/>
                <w:szCs w:val="18"/>
              </w:rPr>
            </w:pPr>
            <w:r w:rsidRPr="00D8046F">
              <w:rPr>
                <w:rFonts w:ascii="宋体" w:cs="Arial"/>
                <w:snapToGrid w:val="0"/>
                <w:spacing w:val="-2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宋体" w:cs="Arial"/>
                <w:sz w:val="18"/>
                <w:szCs w:val="18"/>
              </w:rPr>
            </w:pPr>
            <w:r w:rsidRPr="00D8046F">
              <w:rPr>
                <w:rFonts w:ascii="宋体" w:cs="Arial" w:hint="eastAsia"/>
                <w:sz w:val="18"/>
                <w:szCs w:val="18"/>
              </w:rPr>
              <w:t>九台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676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345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3537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722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2117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975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2096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49.75%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-13.95%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9.22%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0.18%</w:t>
            </w:r>
          </w:p>
        </w:tc>
      </w:tr>
      <w:tr w:rsidR="00FC4AD8" w:rsidRPr="00D8046F" w:rsidTr="00E16658">
        <w:trPr>
          <w:trHeight w:val="48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C4AD8" w:rsidRPr="00D8046F" w:rsidRDefault="00FC4AD8" w:rsidP="00E16658">
            <w:pPr>
              <w:widowControl/>
              <w:jc w:val="center"/>
              <w:rPr>
                <w:rFonts w:ascii="宋体" w:cs="Arial"/>
                <w:snapToGrid w:val="0"/>
                <w:spacing w:val="-20"/>
                <w:kern w:val="0"/>
                <w:sz w:val="18"/>
                <w:szCs w:val="18"/>
              </w:rPr>
            </w:pPr>
            <w:r w:rsidRPr="00D8046F">
              <w:rPr>
                <w:rFonts w:ascii="宋体" w:cs="Arial"/>
                <w:snapToGrid w:val="0"/>
                <w:spacing w:val="-2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宋体" w:cs="Arial"/>
                <w:sz w:val="18"/>
                <w:szCs w:val="18"/>
              </w:rPr>
            </w:pPr>
            <w:r w:rsidRPr="00D8046F">
              <w:rPr>
                <w:rFonts w:ascii="宋体" w:cs="Arial" w:hint="eastAsia"/>
                <w:sz w:val="18"/>
                <w:szCs w:val="18"/>
              </w:rPr>
              <w:t>榆树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1084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915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3286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2377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995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1993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-39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45.61%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-13.91%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8.76%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-0.40%</w:t>
            </w:r>
          </w:p>
        </w:tc>
      </w:tr>
      <w:tr w:rsidR="00FC4AD8" w:rsidRPr="00D8046F" w:rsidTr="00E16658">
        <w:trPr>
          <w:trHeight w:val="48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C4AD8" w:rsidRPr="00D8046F" w:rsidRDefault="00FC4AD8" w:rsidP="00E16658">
            <w:pPr>
              <w:widowControl/>
              <w:jc w:val="center"/>
              <w:rPr>
                <w:rFonts w:ascii="宋体" w:cs="Arial"/>
                <w:snapToGrid w:val="0"/>
                <w:spacing w:val="-20"/>
                <w:kern w:val="0"/>
                <w:sz w:val="18"/>
                <w:szCs w:val="18"/>
              </w:rPr>
            </w:pPr>
            <w:r w:rsidRPr="00D8046F">
              <w:rPr>
                <w:rFonts w:ascii="宋体" w:cs="Arial"/>
                <w:snapToGrid w:val="0"/>
                <w:spacing w:val="-2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宋体" w:cs="Arial"/>
                <w:sz w:val="18"/>
                <w:szCs w:val="18"/>
              </w:rPr>
            </w:pPr>
            <w:r w:rsidRPr="00D8046F">
              <w:rPr>
                <w:rFonts w:ascii="宋体" w:cs="Arial" w:hint="eastAsia"/>
                <w:sz w:val="18"/>
                <w:szCs w:val="18"/>
              </w:rPr>
              <w:t>农安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1815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1721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4921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-1380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2930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3806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220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56.50%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0.42%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16.74%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0.57%</w:t>
            </w:r>
          </w:p>
        </w:tc>
      </w:tr>
      <w:tr w:rsidR="00FC4AD8" w:rsidRPr="00D8046F" w:rsidTr="00E16658">
        <w:trPr>
          <w:trHeight w:val="48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C4AD8" w:rsidRPr="00D8046F" w:rsidRDefault="00FC4AD8" w:rsidP="00E16658">
            <w:pPr>
              <w:widowControl/>
              <w:jc w:val="center"/>
              <w:rPr>
                <w:rFonts w:ascii="宋体" w:cs="Arial"/>
                <w:snapToGrid w:val="0"/>
                <w:spacing w:val="-20"/>
                <w:kern w:val="0"/>
                <w:sz w:val="18"/>
                <w:szCs w:val="18"/>
              </w:rPr>
            </w:pPr>
            <w:r w:rsidRPr="00D8046F">
              <w:rPr>
                <w:rFonts w:ascii="宋体" w:cs="Arial"/>
                <w:snapToGrid w:val="0"/>
                <w:spacing w:val="-2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宋体" w:cs="Arial"/>
                <w:sz w:val="18"/>
                <w:szCs w:val="18"/>
              </w:rPr>
            </w:pPr>
            <w:r w:rsidRPr="00D8046F">
              <w:rPr>
                <w:rFonts w:ascii="宋体" w:cs="Arial" w:hint="eastAsia"/>
                <w:sz w:val="18"/>
                <w:szCs w:val="18"/>
              </w:rPr>
              <w:t>德惠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1159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954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5130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-2629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2769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-1308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3520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-367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55.97%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7.16%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15.48%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-2.05%</w:t>
            </w:r>
          </w:p>
        </w:tc>
      </w:tr>
      <w:tr w:rsidR="00FC4AD8" w:rsidRPr="00D8046F" w:rsidTr="00E16658">
        <w:trPr>
          <w:trHeight w:val="48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C4AD8" w:rsidRPr="00D8046F" w:rsidRDefault="00FC4AD8" w:rsidP="00E16658">
            <w:pPr>
              <w:widowControl/>
              <w:jc w:val="center"/>
              <w:rPr>
                <w:rFonts w:ascii="宋体" w:cs="Arial"/>
                <w:snapToGrid w:val="0"/>
                <w:spacing w:val="-20"/>
                <w:kern w:val="0"/>
                <w:sz w:val="18"/>
                <w:szCs w:val="18"/>
              </w:rPr>
            </w:pPr>
            <w:r w:rsidRPr="00D8046F">
              <w:rPr>
                <w:rFonts w:ascii="宋体" w:cs="Arial"/>
                <w:snapToGrid w:val="0"/>
                <w:spacing w:val="-2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宋体" w:cs="Arial"/>
                <w:sz w:val="18"/>
                <w:szCs w:val="18"/>
              </w:rPr>
            </w:pPr>
            <w:r w:rsidRPr="00D8046F">
              <w:rPr>
                <w:rFonts w:ascii="宋体" w:cs="Arial" w:hint="eastAsia"/>
                <w:sz w:val="18"/>
                <w:szCs w:val="18"/>
              </w:rPr>
              <w:t>双阳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523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1615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174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990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1148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53.70%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-1.10%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5.05%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0.29%</w:t>
            </w:r>
          </w:p>
        </w:tc>
      </w:tr>
      <w:tr w:rsidR="00FC4AD8" w:rsidRPr="00D8046F" w:rsidTr="00E16658">
        <w:trPr>
          <w:trHeight w:val="48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C4AD8" w:rsidRPr="00D8046F" w:rsidRDefault="00FC4AD8" w:rsidP="00E16658">
            <w:pPr>
              <w:widowControl/>
              <w:jc w:val="center"/>
              <w:rPr>
                <w:rFonts w:ascii="宋体" w:cs="Arial"/>
                <w:snapToGrid w:val="0"/>
                <w:spacing w:val="-20"/>
                <w:kern w:val="0"/>
                <w:sz w:val="18"/>
                <w:szCs w:val="18"/>
              </w:rPr>
            </w:pPr>
            <w:r w:rsidRPr="00D8046F">
              <w:rPr>
                <w:rFonts w:ascii="宋体" w:cs="Arial"/>
                <w:snapToGrid w:val="0"/>
                <w:spacing w:val="-2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宋体" w:cs="Arial"/>
                <w:sz w:val="18"/>
                <w:szCs w:val="18"/>
              </w:rPr>
            </w:pPr>
            <w:r w:rsidRPr="00D8046F">
              <w:rPr>
                <w:rFonts w:ascii="宋体" w:cs="Arial" w:hint="eastAsia"/>
                <w:sz w:val="18"/>
                <w:szCs w:val="18"/>
              </w:rPr>
              <w:t>经开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729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288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1789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189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1741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719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777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-242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30.86%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-19.07%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3.42%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-1.18%</w:t>
            </w:r>
          </w:p>
        </w:tc>
      </w:tr>
      <w:tr w:rsidR="00FC4AD8" w:rsidRPr="00D8046F" w:rsidTr="00E16658">
        <w:trPr>
          <w:trHeight w:val="489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C4AD8" w:rsidRPr="00D8046F" w:rsidRDefault="00FC4AD8" w:rsidP="00E16658">
            <w:pPr>
              <w:widowControl/>
              <w:jc w:val="center"/>
              <w:rPr>
                <w:rFonts w:ascii="宋体" w:cs="Arial"/>
                <w:snapToGrid w:val="0"/>
                <w:spacing w:val="-20"/>
                <w:kern w:val="0"/>
                <w:sz w:val="18"/>
                <w:szCs w:val="18"/>
              </w:rPr>
            </w:pPr>
            <w:r w:rsidRPr="00D8046F">
              <w:rPr>
                <w:rFonts w:ascii="宋体" w:cs="Arial"/>
                <w:snapToGrid w:val="0"/>
                <w:spacing w:val="-2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宋体" w:cs="Arial"/>
                <w:sz w:val="18"/>
                <w:szCs w:val="18"/>
              </w:rPr>
            </w:pPr>
            <w:proofErr w:type="gramStart"/>
            <w:r w:rsidRPr="00D8046F">
              <w:rPr>
                <w:rFonts w:ascii="宋体" w:cs="Arial" w:hint="eastAsia"/>
                <w:sz w:val="18"/>
                <w:szCs w:val="18"/>
              </w:rPr>
              <w:t>汽开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706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324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1621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-296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1121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562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1206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-534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51.83%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-23.86%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5.30%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-2.54%</w:t>
            </w:r>
          </w:p>
        </w:tc>
      </w:tr>
      <w:tr w:rsidR="00FC4AD8" w:rsidRPr="00D8046F" w:rsidTr="00E16658">
        <w:trPr>
          <w:trHeight w:val="453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C4AD8" w:rsidRPr="00D8046F" w:rsidRDefault="00FC4AD8" w:rsidP="00E16658">
            <w:pPr>
              <w:widowControl/>
              <w:jc w:val="center"/>
              <w:rPr>
                <w:rFonts w:ascii="宋体" w:cs="Arial"/>
                <w:snapToGrid w:val="0"/>
                <w:spacing w:val="-20"/>
                <w:kern w:val="0"/>
                <w:sz w:val="18"/>
                <w:szCs w:val="18"/>
              </w:rPr>
            </w:pPr>
            <w:r w:rsidRPr="00D8046F">
              <w:rPr>
                <w:rFonts w:ascii="宋体" w:cs="Arial"/>
                <w:snapToGrid w:val="0"/>
                <w:spacing w:val="-2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宋体" w:cs="Arial"/>
                <w:sz w:val="18"/>
                <w:szCs w:val="18"/>
              </w:rPr>
            </w:pPr>
            <w:r w:rsidRPr="00D8046F">
              <w:rPr>
                <w:rFonts w:ascii="宋体" w:cs="Arial" w:hint="eastAsia"/>
                <w:sz w:val="18"/>
                <w:szCs w:val="18"/>
              </w:rPr>
              <w:t>高新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882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-85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530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496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-158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48.34%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-10.63%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2.18%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-0.77%</w:t>
            </w:r>
          </w:p>
        </w:tc>
      </w:tr>
      <w:tr w:rsidR="00FC4AD8" w:rsidRPr="00A55AC3" w:rsidTr="00E16658">
        <w:trPr>
          <w:trHeight w:val="62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C4AD8" w:rsidRPr="00A55AC3" w:rsidRDefault="00FC4AD8" w:rsidP="00E16658">
            <w:pPr>
              <w:widowControl/>
              <w:jc w:val="center"/>
              <w:rPr>
                <w:rFonts w:ascii="宋体" w:cs="Arial" w:hint="eastAsia"/>
                <w:snapToGrid w:val="0"/>
                <w:spacing w:val="-20"/>
                <w:kern w:val="0"/>
                <w:sz w:val="18"/>
                <w:szCs w:val="18"/>
              </w:rPr>
            </w:pPr>
            <w:r w:rsidRPr="00A55AC3">
              <w:rPr>
                <w:rFonts w:ascii="宋体" w:cs="Arial" w:hint="eastAsia"/>
                <w:snapToGrid w:val="0"/>
                <w:spacing w:val="-2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A55AC3" w:rsidRDefault="00FC4AD8" w:rsidP="00E16658">
            <w:pPr>
              <w:jc w:val="center"/>
              <w:rPr>
                <w:rFonts w:ascii="宋体" w:cs="Arial" w:hint="eastAsia"/>
                <w:sz w:val="18"/>
                <w:szCs w:val="18"/>
              </w:rPr>
            </w:pPr>
            <w:r w:rsidRPr="00A55AC3">
              <w:rPr>
                <w:rFonts w:ascii="宋体" w:cs="Arial" w:hint="eastAsia"/>
                <w:sz w:val="18"/>
                <w:szCs w:val="18"/>
              </w:rPr>
              <w:t>净月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A55AC3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A55AC3">
              <w:rPr>
                <w:rFonts w:ascii="Arial" w:hAnsi="Arial" w:cs="Arial"/>
                <w:spacing w:val="-20"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A55AC3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A55AC3">
              <w:rPr>
                <w:rFonts w:ascii="Arial" w:hAnsi="Arial" w:cs="Arial" w:hint="eastAsia"/>
                <w:spacing w:val="-20"/>
                <w:sz w:val="18"/>
                <w:szCs w:val="18"/>
              </w:rPr>
              <w:t>——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A55AC3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A55AC3">
              <w:rPr>
                <w:rFonts w:ascii="Arial" w:hAnsi="Arial" w:cs="Arial"/>
                <w:spacing w:val="-20"/>
                <w:sz w:val="18"/>
                <w:szCs w:val="18"/>
              </w:rPr>
              <w:t>710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A55AC3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A55AC3">
              <w:rPr>
                <w:rFonts w:ascii="Arial" w:hAnsi="Arial" w:cs="Arial" w:hint="eastAsia"/>
                <w:spacing w:val="-20"/>
                <w:sz w:val="18"/>
                <w:szCs w:val="18"/>
              </w:rPr>
              <w:t>——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A55AC3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A55AC3">
              <w:rPr>
                <w:rFonts w:ascii="Arial" w:hAnsi="Arial" w:cs="Arial"/>
                <w:spacing w:val="-20"/>
                <w:sz w:val="18"/>
                <w:szCs w:val="18"/>
              </w:rPr>
              <w:t>478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A55AC3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A55AC3">
              <w:rPr>
                <w:rFonts w:ascii="Arial" w:hAnsi="Arial" w:cs="Arial" w:hint="eastAsia"/>
                <w:spacing w:val="-20"/>
                <w:sz w:val="18"/>
                <w:szCs w:val="18"/>
              </w:rPr>
              <w:t>——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A55AC3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A55AC3">
              <w:rPr>
                <w:rFonts w:ascii="Arial" w:hAnsi="Arial" w:cs="Arial"/>
                <w:spacing w:val="-20"/>
                <w:sz w:val="18"/>
                <w:szCs w:val="18"/>
              </w:rPr>
              <w:t>422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A55AC3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A55AC3">
              <w:rPr>
                <w:rFonts w:ascii="Arial" w:hAnsi="Arial" w:cs="Arial" w:hint="eastAsia"/>
                <w:spacing w:val="-20"/>
                <w:sz w:val="18"/>
                <w:szCs w:val="18"/>
              </w:rPr>
              <w:t>——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A55AC3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A55AC3">
              <w:rPr>
                <w:rFonts w:ascii="Arial" w:hAnsi="Arial" w:cs="Arial"/>
                <w:spacing w:val="-20"/>
                <w:sz w:val="18"/>
                <w:szCs w:val="18"/>
              </w:rPr>
              <w:t>46.89%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A55AC3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A55AC3">
              <w:rPr>
                <w:rFonts w:ascii="Arial" w:hAnsi="Arial" w:cs="Arial" w:hint="eastAsia"/>
                <w:spacing w:val="-20"/>
                <w:sz w:val="18"/>
                <w:szCs w:val="18"/>
              </w:rPr>
              <w:t>——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A55AC3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A55AC3">
              <w:rPr>
                <w:rFonts w:ascii="Arial" w:hAnsi="Arial" w:cs="Arial"/>
                <w:spacing w:val="-20"/>
                <w:sz w:val="18"/>
                <w:szCs w:val="18"/>
              </w:rPr>
              <w:t>1.86%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A55AC3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A55AC3">
              <w:rPr>
                <w:rFonts w:ascii="Arial" w:hAnsi="Arial" w:cs="Arial" w:hint="eastAsia"/>
                <w:spacing w:val="-20"/>
                <w:sz w:val="18"/>
                <w:szCs w:val="18"/>
              </w:rPr>
              <w:t>——</w:t>
            </w:r>
          </w:p>
        </w:tc>
      </w:tr>
      <w:tr w:rsidR="00FC4AD8" w:rsidRPr="00D8046F" w:rsidTr="00E16658">
        <w:trPr>
          <w:trHeight w:val="43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FC4AD8" w:rsidRPr="00D8046F" w:rsidRDefault="00FC4AD8" w:rsidP="00E16658">
            <w:pPr>
              <w:widowControl/>
              <w:jc w:val="center"/>
              <w:rPr>
                <w:rFonts w:ascii="宋体" w:cs="Arial"/>
                <w:b/>
                <w:snapToGrid w:val="0"/>
                <w:spacing w:val="-20"/>
                <w:kern w:val="0"/>
                <w:sz w:val="18"/>
                <w:szCs w:val="18"/>
              </w:rPr>
            </w:pPr>
            <w:r w:rsidRPr="00D8046F">
              <w:rPr>
                <w:rFonts w:ascii="宋体" w:cs="Arial" w:hint="eastAsia"/>
                <w:b/>
                <w:snapToGrid w:val="0"/>
                <w:spacing w:val="-20"/>
                <w:kern w:val="0"/>
                <w:sz w:val="18"/>
                <w:szCs w:val="18"/>
              </w:rPr>
              <w:t>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4AD8" w:rsidRPr="00D8046F" w:rsidRDefault="00FC4AD8" w:rsidP="00E16658">
            <w:pPr>
              <w:widowControl/>
              <w:jc w:val="center"/>
              <w:rPr>
                <w:rFonts w:ascii="宋体" w:cs="Arial"/>
                <w:b/>
                <w:snapToGrid w:val="0"/>
                <w:spacing w:val="-20"/>
                <w:kern w:val="0"/>
                <w:sz w:val="18"/>
                <w:szCs w:val="18"/>
              </w:rPr>
            </w:pPr>
            <w:r w:rsidRPr="00D8046F">
              <w:rPr>
                <w:rFonts w:ascii="宋体" w:cs="Arial" w:hint="eastAsia"/>
                <w:b/>
                <w:snapToGrid w:val="0"/>
                <w:spacing w:val="-20"/>
                <w:kern w:val="0"/>
                <w:sz w:val="18"/>
                <w:szCs w:val="18"/>
              </w:rPr>
              <w:t>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10510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6040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36907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1513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24677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6994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22740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560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47.96%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-7.68%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C4AD8" w:rsidRPr="00D8046F" w:rsidRDefault="00FC4AD8" w:rsidP="00E16658">
            <w:pPr>
              <w:jc w:val="center"/>
              <w:rPr>
                <w:rFonts w:ascii="Arial" w:eastAsia="宋体" w:hAnsi="Arial" w:cs="Arial"/>
                <w:spacing w:val="-20"/>
                <w:sz w:val="18"/>
                <w:szCs w:val="18"/>
              </w:rPr>
            </w:pPr>
            <w:r w:rsidRPr="00D8046F">
              <w:rPr>
                <w:rFonts w:ascii="Arial" w:hAnsi="Arial" w:cs="Arial"/>
                <w:spacing w:val="-20"/>
                <w:sz w:val="18"/>
                <w:szCs w:val="18"/>
              </w:rPr>
              <w:t>0.00%</w:t>
            </w:r>
          </w:p>
        </w:tc>
      </w:tr>
    </w:tbl>
    <w:p w:rsidR="00FC4AD8" w:rsidRDefault="00FC4AD8" w:rsidP="00FC4AD8">
      <w:pPr>
        <w:snapToGrid w:val="0"/>
        <w:spacing w:line="360" w:lineRule="auto"/>
        <w:ind w:firstLineChars="200" w:firstLine="640"/>
        <w:jc w:val="left"/>
        <w:rPr>
          <w:rFonts w:ascii="黑体" w:eastAsia="黑体" w:hAnsi="黑体" w:hint="eastAsia"/>
          <w:color w:val="FF0000"/>
        </w:rPr>
      </w:pPr>
    </w:p>
    <w:p w:rsidR="00FC4AD8" w:rsidRPr="00727C02" w:rsidRDefault="00FC4AD8" w:rsidP="00FC4AD8">
      <w:pPr>
        <w:snapToGrid w:val="0"/>
        <w:spacing w:line="360" w:lineRule="auto"/>
        <w:ind w:firstLineChars="200" w:firstLine="640"/>
        <w:jc w:val="left"/>
        <w:rPr>
          <w:rFonts w:ascii="黑体" w:eastAsia="黑体" w:hAnsi="黑体" w:hint="eastAsia"/>
        </w:rPr>
      </w:pPr>
      <w:r w:rsidRPr="00727C02">
        <w:rPr>
          <w:rFonts w:ascii="黑体" w:eastAsia="黑体" w:hAnsi="黑体" w:hint="eastAsia"/>
        </w:rPr>
        <w:t>二、审判质效情况</w:t>
      </w:r>
    </w:p>
    <w:p w:rsidR="00FC4AD8" w:rsidRPr="007E478D" w:rsidRDefault="00FC4AD8" w:rsidP="00FC4AD8">
      <w:pPr>
        <w:spacing w:line="360" w:lineRule="auto"/>
        <w:ind w:firstLineChars="198" w:firstLine="636"/>
        <w:rPr>
          <w:rFonts w:ascii="楷体_GB2312" w:eastAsia="楷体_GB2312" w:cs="Arial" w:hint="eastAsia"/>
          <w:b/>
          <w:kern w:val="0"/>
        </w:rPr>
      </w:pPr>
      <w:r w:rsidRPr="007E478D">
        <w:rPr>
          <w:rFonts w:ascii="楷体_GB2312" w:eastAsia="楷体_GB2312" w:cs="Arial" w:hint="eastAsia"/>
          <w:b/>
          <w:kern w:val="0"/>
        </w:rPr>
        <w:t>1、公正指标</w:t>
      </w:r>
    </w:p>
    <w:p w:rsidR="00FC4AD8" w:rsidRPr="007E478D" w:rsidRDefault="00FC4AD8" w:rsidP="00FC4AD8">
      <w:pPr>
        <w:spacing w:line="360" w:lineRule="auto"/>
        <w:ind w:firstLineChars="146" w:firstLine="469"/>
        <w:rPr>
          <w:rFonts w:cs="Arial" w:hint="eastAsia"/>
          <w:b/>
          <w:kern w:val="0"/>
        </w:rPr>
      </w:pPr>
      <w:r w:rsidRPr="007E478D">
        <w:rPr>
          <w:rFonts w:cs="Arial" w:hint="eastAsia"/>
          <w:b/>
          <w:kern w:val="0"/>
        </w:rPr>
        <w:t>（1）生效案件改判发回重审率</w:t>
      </w:r>
      <w:r>
        <w:rPr>
          <w:rFonts w:cs="Arial" w:hint="eastAsia"/>
          <w:b/>
          <w:kern w:val="0"/>
        </w:rPr>
        <w:t>同比下降，</w:t>
      </w:r>
      <w:r w:rsidRPr="007E478D">
        <w:rPr>
          <w:rFonts w:cs="Arial" w:hint="eastAsia"/>
          <w:b/>
          <w:kern w:val="0"/>
        </w:rPr>
        <w:t>一审判决案件改判发回重审率（错误）</w:t>
      </w:r>
      <w:r>
        <w:rPr>
          <w:rFonts w:cs="Arial" w:hint="eastAsia"/>
          <w:b/>
          <w:kern w:val="0"/>
        </w:rPr>
        <w:t>同比上升</w:t>
      </w:r>
      <w:r w:rsidRPr="007E478D">
        <w:rPr>
          <w:rFonts w:cs="Arial" w:hint="eastAsia"/>
          <w:b/>
          <w:kern w:val="0"/>
        </w:rPr>
        <w:t>。</w:t>
      </w:r>
    </w:p>
    <w:p w:rsidR="00FC4AD8" w:rsidRPr="007E478D" w:rsidRDefault="00FC4AD8" w:rsidP="00FC4AD8">
      <w:pPr>
        <w:spacing w:line="360" w:lineRule="auto"/>
        <w:ind w:firstLineChars="198" w:firstLine="634"/>
        <w:rPr>
          <w:rFonts w:ascii="宋体"/>
          <w:kern w:val="0"/>
        </w:rPr>
      </w:pPr>
      <w:r w:rsidRPr="007E478D">
        <w:rPr>
          <w:rFonts w:ascii="宋体" w:cs="Arial" w:hint="eastAsia"/>
          <w:kern w:val="0"/>
        </w:rPr>
        <w:t>2015</w:t>
      </w:r>
      <w:r w:rsidRPr="007E478D">
        <w:rPr>
          <w:rFonts w:ascii="宋体" w:cs="Arial" w:hint="eastAsia"/>
          <w:kern w:val="0"/>
        </w:rPr>
        <w:t>年</w:t>
      </w:r>
      <w:r w:rsidRPr="007E478D">
        <w:rPr>
          <w:rFonts w:ascii="宋体" w:cs="Arial" w:hint="eastAsia"/>
          <w:kern w:val="0"/>
        </w:rPr>
        <w:t>1-</w:t>
      </w:r>
      <w:r>
        <w:rPr>
          <w:rFonts w:ascii="宋体" w:cs="Arial" w:hint="eastAsia"/>
          <w:kern w:val="0"/>
        </w:rPr>
        <w:t>6</w:t>
      </w:r>
      <w:r w:rsidRPr="007E478D">
        <w:rPr>
          <w:rFonts w:ascii="宋体" w:cs="Arial" w:hint="eastAsia"/>
          <w:kern w:val="0"/>
        </w:rPr>
        <w:t>月，生效案件改判发回重审率为</w:t>
      </w:r>
      <w:r>
        <w:rPr>
          <w:rFonts w:ascii="宋体" w:cs="Arial" w:hint="eastAsia"/>
          <w:kern w:val="0"/>
        </w:rPr>
        <w:t>0.31</w:t>
      </w:r>
      <w:r w:rsidRPr="007E478D">
        <w:rPr>
          <w:rFonts w:ascii="宋体"/>
          <w:kern w:val="0"/>
        </w:rPr>
        <w:t>‰</w:t>
      </w:r>
      <w:r w:rsidRPr="007E478D">
        <w:rPr>
          <w:rFonts w:ascii="宋体" w:cs="Arial" w:hint="eastAsia"/>
          <w:kern w:val="0"/>
        </w:rPr>
        <w:t>，</w:t>
      </w:r>
      <w:r w:rsidRPr="007E478D">
        <w:rPr>
          <w:rFonts w:ascii="宋体" w:hint="eastAsia"/>
          <w:kern w:val="0"/>
        </w:rPr>
        <w:t>同比下降了</w:t>
      </w:r>
      <w:r>
        <w:rPr>
          <w:rFonts w:ascii="宋体" w:hint="eastAsia"/>
          <w:kern w:val="0"/>
        </w:rPr>
        <w:t>0.45</w:t>
      </w:r>
      <w:r w:rsidRPr="007E478D">
        <w:rPr>
          <w:rFonts w:ascii="宋体"/>
          <w:kern w:val="0"/>
        </w:rPr>
        <w:t>‰</w:t>
      </w:r>
      <w:r w:rsidRPr="007E478D">
        <w:rPr>
          <w:rFonts w:ascii="宋体" w:hint="eastAsia"/>
          <w:kern w:val="0"/>
        </w:rPr>
        <w:t>，优于近三年平均值</w:t>
      </w:r>
      <w:r>
        <w:rPr>
          <w:rFonts w:ascii="宋体" w:hint="eastAsia"/>
          <w:kern w:val="0"/>
        </w:rPr>
        <w:t>0.12</w:t>
      </w:r>
      <w:r>
        <w:rPr>
          <w:rFonts w:ascii="宋体" w:hint="eastAsia"/>
          <w:kern w:val="0"/>
        </w:rPr>
        <w:t>个千分点。其中，只有南关、农安法院存在</w:t>
      </w:r>
      <w:r w:rsidRPr="003717B9">
        <w:rPr>
          <w:rFonts w:ascii="宋体" w:hint="eastAsia"/>
          <w:kern w:val="0"/>
        </w:rPr>
        <w:t>生效改发案件</w:t>
      </w:r>
      <w:r w:rsidRPr="007E478D">
        <w:rPr>
          <w:rFonts w:ascii="宋体" w:hint="eastAsia"/>
          <w:kern w:val="0"/>
        </w:rPr>
        <w:t>。</w:t>
      </w:r>
    </w:p>
    <w:p w:rsidR="00FC4AD8" w:rsidRPr="007E478D" w:rsidRDefault="00FC4AD8" w:rsidP="00FC4AD8">
      <w:pPr>
        <w:spacing w:line="360" w:lineRule="auto"/>
        <w:ind w:firstLineChars="198" w:firstLine="634"/>
        <w:rPr>
          <w:rFonts w:ascii="宋体" w:hint="eastAsia"/>
          <w:kern w:val="0"/>
        </w:rPr>
      </w:pPr>
      <w:r w:rsidRPr="007E478D">
        <w:rPr>
          <w:rFonts w:ascii="宋体" w:cs="Arial" w:hint="eastAsia"/>
          <w:kern w:val="0"/>
        </w:rPr>
        <w:t>2015</w:t>
      </w:r>
      <w:r w:rsidRPr="007E478D">
        <w:rPr>
          <w:rFonts w:ascii="宋体" w:cs="Arial" w:hint="eastAsia"/>
          <w:kern w:val="0"/>
        </w:rPr>
        <w:t>年</w:t>
      </w:r>
      <w:r w:rsidRPr="007E478D">
        <w:rPr>
          <w:rFonts w:ascii="宋体" w:cs="Arial" w:hint="eastAsia"/>
          <w:kern w:val="0"/>
        </w:rPr>
        <w:t>1-</w:t>
      </w:r>
      <w:r>
        <w:rPr>
          <w:rFonts w:ascii="宋体" w:cs="Arial" w:hint="eastAsia"/>
          <w:kern w:val="0"/>
        </w:rPr>
        <w:t>6</w:t>
      </w:r>
      <w:r w:rsidRPr="007E478D">
        <w:rPr>
          <w:rFonts w:ascii="宋体" w:cs="Arial" w:hint="eastAsia"/>
          <w:kern w:val="0"/>
        </w:rPr>
        <w:t>月，一审判决案件改判发回重审率（错误）为</w:t>
      </w:r>
      <w:r>
        <w:rPr>
          <w:rFonts w:ascii="宋体" w:cs="Arial" w:hint="eastAsia"/>
          <w:kern w:val="0"/>
        </w:rPr>
        <w:t>1.8</w:t>
      </w:r>
      <w:r w:rsidRPr="007E478D">
        <w:rPr>
          <w:rFonts w:ascii="宋体" w:cs="Arial" w:hint="eastAsia"/>
          <w:kern w:val="0"/>
        </w:rPr>
        <w:t>%</w:t>
      </w:r>
      <w:r w:rsidRPr="007E478D">
        <w:rPr>
          <w:rFonts w:ascii="宋体" w:cs="Arial" w:hint="eastAsia"/>
          <w:kern w:val="0"/>
        </w:rPr>
        <w:t>，同比上升了</w:t>
      </w:r>
      <w:r w:rsidRPr="007E478D">
        <w:rPr>
          <w:rFonts w:ascii="宋体" w:cs="Arial" w:hint="eastAsia"/>
          <w:kern w:val="0"/>
        </w:rPr>
        <w:t>0.</w:t>
      </w:r>
      <w:r>
        <w:rPr>
          <w:rFonts w:ascii="宋体" w:cs="Arial" w:hint="eastAsia"/>
          <w:kern w:val="0"/>
        </w:rPr>
        <w:t>64</w:t>
      </w:r>
      <w:r w:rsidRPr="007E478D">
        <w:rPr>
          <w:rFonts w:ascii="宋体" w:cs="Arial" w:hint="eastAsia"/>
          <w:kern w:val="0"/>
        </w:rPr>
        <w:t>%</w:t>
      </w:r>
      <w:r w:rsidRPr="007E478D">
        <w:rPr>
          <w:rFonts w:ascii="宋体" w:hint="eastAsia"/>
          <w:kern w:val="0"/>
        </w:rPr>
        <w:t>，劣于近三年平均值</w:t>
      </w:r>
      <w:r w:rsidRPr="007E478D">
        <w:rPr>
          <w:rFonts w:ascii="宋体" w:hint="eastAsia"/>
          <w:kern w:val="0"/>
        </w:rPr>
        <w:t>0.</w:t>
      </w:r>
      <w:r>
        <w:rPr>
          <w:rFonts w:ascii="宋体" w:hint="eastAsia"/>
          <w:kern w:val="0"/>
        </w:rPr>
        <w:t>76</w:t>
      </w:r>
      <w:r w:rsidRPr="007E478D">
        <w:rPr>
          <w:rFonts w:ascii="宋体" w:hint="eastAsia"/>
          <w:kern w:val="0"/>
        </w:rPr>
        <w:t>个百分点。其中，</w:t>
      </w:r>
      <w:r>
        <w:rPr>
          <w:rFonts w:ascii="宋体" w:hint="eastAsia"/>
          <w:kern w:val="0"/>
        </w:rPr>
        <w:t>只有经</w:t>
      </w:r>
      <w:proofErr w:type="gramStart"/>
      <w:r>
        <w:rPr>
          <w:rFonts w:ascii="宋体" w:hint="eastAsia"/>
          <w:kern w:val="0"/>
        </w:rPr>
        <w:t>开</w:t>
      </w:r>
      <w:r w:rsidRPr="007E478D">
        <w:rPr>
          <w:rFonts w:ascii="宋体" w:hint="eastAsia"/>
          <w:kern w:val="0"/>
        </w:rPr>
        <w:t>法院</w:t>
      </w:r>
      <w:proofErr w:type="gramEnd"/>
      <w:r w:rsidRPr="007E478D">
        <w:rPr>
          <w:rFonts w:ascii="宋体" w:hint="eastAsia"/>
          <w:kern w:val="0"/>
        </w:rPr>
        <w:t>的指标值</w:t>
      </w:r>
      <w:r>
        <w:rPr>
          <w:rFonts w:ascii="宋体" w:hint="eastAsia"/>
          <w:kern w:val="0"/>
        </w:rPr>
        <w:t>最</w:t>
      </w:r>
      <w:r w:rsidRPr="007E478D">
        <w:rPr>
          <w:rFonts w:ascii="宋体" w:hint="eastAsia"/>
          <w:kern w:val="0"/>
        </w:rPr>
        <w:t>大，为</w:t>
      </w:r>
      <w:r>
        <w:rPr>
          <w:rFonts w:ascii="宋体" w:hint="eastAsia"/>
          <w:kern w:val="0"/>
        </w:rPr>
        <w:t>3.33</w:t>
      </w:r>
      <w:r w:rsidRPr="007E478D">
        <w:rPr>
          <w:rFonts w:ascii="宋体" w:hint="eastAsia"/>
          <w:kern w:val="0"/>
        </w:rPr>
        <w:t>%</w:t>
      </w:r>
      <w:r w:rsidRPr="007E478D">
        <w:rPr>
          <w:rFonts w:ascii="宋体" w:hint="eastAsia"/>
          <w:kern w:val="0"/>
        </w:rPr>
        <w:t>。</w:t>
      </w:r>
    </w:p>
    <w:p w:rsidR="00FC4AD8" w:rsidRPr="00A55AC3" w:rsidRDefault="00FC4AD8" w:rsidP="00FC4AD8">
      <w:pPr>
        <w:spacing w:line="360" w:lineRule="auto"/>
        <w:ind w:firstLineChars="198" w:firstLine="636"/>
        <w:rPr>
          <w:rFonts w:cs="Arial" w:hint="eastAsia"/>
          <w:b/>
          <w:kern w:val="0"/>
        </w:rPr>
      </w:pPr>
      <w:r w:rsidRPr="00A55AC3">
        <w:rPr>
          <w:rFonts w:cs="Arial" w:hint="eastAsia"/>
          <w:b/>
          <w:kern w:val="0"/>
        </w:rPr>
        <w:lastRenderedPageBreak/>
        <w:t>（2）立案变更率较去年同期呈现下滑趋势。</w:t>
      </w:r>
    </w:p>
    <w:p w:rsidR="00FC4AD8" w:rsidRPr="00A55AC3" w:rsidRDefault="00FC4AD8" w:rsidP="00FC4AD8">
      <w:pPr>
        <w:spacing w:line="360" w:lineRule="auto"/>
        <w:ind w:firstLineChars="198" w:firstLine="634"/>
        <w:rPr>
          <w:rFonts w:ascii="宋体" w:hint="eastAsia"/>
          <w:kern w:val="0"/>
        </w:rPr>
      </w:pPr>
      <w:r w:rsidRPr="00A55AC3">
        <w:rPr>
          <w:rFonts w:ascii="宋体" w:cs="Arial" w:hint="eastAsia"/>
          <w:kern w:val="0"/>
        </w:rPr>
        <w:t>2015</w:t>
      </w:r>
      <w:r w:rsidRPr="00A55AC3">
        <w:rPr>
          <w:rFonts w:ascii="宋体" w:cs="Arial" w:hint="eastAsia"/>
          <w:kern w:val="0"/>
        </w:rPr>
        <w:t>年</w:t>
      </w:r>
      <w:r w:rsidRPr="00A55AC3">
        <w:rPr>
          <w:rFonts w:ascii="宋体" w:cs="Arial" w:hint="eastAsia"/>
          <w:kern w:val="0"/>
        </w:rPr>
        <w:t>1-6</w:t>
      </w:r>
      <w:r w:rsidRPr="00A55AC3">
        <w:rPr>
          <w:rFonts w:ascii="宋体" w:cs="Arial" w:hint="eastAsia"/>
          <w:kern w:val="0"/>
        </w:rPr>
        <w:t>月，立案变更率为</w:t>
      </w:r>
      <w:r w:rsidRPr="00A55AC3">
        <w:rPr>
          <w:rFonts w:ascii="宋体" w:cs="Arial" w:hint="eastAsia"/>
          <w:kern w:val="0"/>
        </w:rPr>
        <w:t>0.76</w:t>
      </w:r>
      <w:r w:rsidRPr="00A55AC3">
        <w:rPr>
          <w:rFonts w:ascii="宋体"/>
          <w:kern w:val="0"/>
        </w:rPr>
        <w:t>‰</w:t>
      </w:r>
      <w:r w:rsidRPr="00A55AC3">
        <w:rPr>
          <w:rFonts w:ascii="宋体" w:cs="Arial" w:hint="eastAsia"/>
          <w:kern w:val="0"/>
        </w:rPr>
        <w:t>，同比上升了</w:t>
      </w:r>
      <w:r w:rsidRPr="00A55AC3">
        <w:rPr>
          <w:rFonts w:ascii="宋体" w:cs="Arial" w:hint="eastAsia"/>
          <w:kern w:val="0"/>
        </w:rPr>
        <w:t>0.48</w:t>
      </w:r>
      <w:r w:rsidRPr="00A55AC3">
        <w:rPr>
          <w:rFonts w:ascii="宋体"/>
          <w:kern w:val="0"/>
        </w:rPr>
        <w:t>‰</w:t>
      </w:r>
      <w:r w:rsidRPr="00A55AC3">
        <w:rPr>
          <w:rFonts w:ascii="宋体" w:hint="eastAsia"/>
          <w:kern w:val="0"/>
        </w:rPr>
        <w:t>，劣于近三年平均值</w:t>
      </w:r>
      <w:r w:rsidRPr="00A55AC3">
        <w:rPr>
          <w:rFonts w:ascii="宋体" w:hint="eastAsia"/>
          <w:kern w:val="0"/>
        </w:rPr>
        <w:t>0.24</w:t>
      </w:r>
      <w:r w:rsidRPr="00A55AC3">
        <w:rPr>
          <w:rFonts w:ascii="宋体" w:hint="eastAsia"/>
          <w:kern w:val="0"/>
        </w:rPr>
        <w:t>个千分点。其中，南关、宽城、九台、双阳、</w:t>
      </w:r>
      <w:proofErr w:type="gramStart"/>
      <w:r w:rsidRPr="00A55AC3">
        <w:rPr>
          <w:rFonts w:ascii="宋体" w:hint="eastAsia"/>
          <w:kern w:val="0"/>
        </w:rPr>
        <w:t>汽开法院</w:t>
      </w:r>
      <w:proofErr w:type="gramEnd"/>
      <w:r w:rsidRPr="00A55AC3">
        <w:rPr>
          <w:rFonts w:ascii="宋体" w:hint="eastAsia"/>
          <w:kern w:val="0"/>
        </w:rPr>
        <w:t>的立案变更率均劣于去年同期，同比分别增长了</w:t>
      </w:r>
      <w:r w:rsidRPr="00A55AC3">
        <w:rPr>
          <w:rFonts w:ascii="宋体" w:hint="eastAsia"/>
          <w:kern w:val="0"/>
        </w:rPr>
        <w:t>1.82</w:t>
      </w:r>
      <w:r w:rsidRPr="00A55AC3">
        <w:rPr>
          <w:rFonts w:ascii="宋体"/>
          <w:kern w:val="0"/>
        </w:rPr>
        <w:t>‰</w:t>
      </w:r>
      <w:r w:rsidRPr="00A55AC3">
        <w:rPr>
          <w:rFonts w:ascii="宋体" w:hint="eastAsia"/>
          <w:kern w:val="0"/>
        </w:rPr>
        <w:t>、</w:t>
      </w:r>
      <w:r w:rsidRPr="00A55AC3">
        <w:rPr>
          <w:rFonts w:ascii="宋体" w:hint="eastAsia"/>
          <w:kern w:val="0"/>
        </w:rPr>
        <w:t>2.14</w:t>
      </w:r>
      <w:r w:rsidRPr="00A55AC3">
        <w:rPr>
          <w:rFonts w:ascii="宋体"/>
          <w:kern w:val="0"/>
        </w:rPr>
        <w:t>‰</w:t>
      </w:r>
      <w:r w:rsidRPr="00A55AC3">
        <w:rPr>
          <w:rFonts w:ascii="宋体" w:hint="eastAsia"/>
          <w:kern w:val="0"/>
        </w:rPr>
        <w:t>、</w:t>
      </w:r>
      <w:r w:rsidRPr="00A55AC3">
        <w:rPr>
          <w:rFonts w:ascii="宋体" w:hint="eastAsia"/>
          <w:kern w:val="0"/>
        </w:rPr>
        <w:t>0.73</w:t>
      </w:r>
      <w:r w:rsidRPr="00A55AC3">
        <w:rPr>
          <w:rFonts w:ascii="宋体"/>
          <w:kern w:val="0"/>
        </w:rPr>
        <w:t>‰</w:t>
      </w:r>
      <w:r w:rsidRPr="00A55AC3">
        <w:rPr>
          <w:rFonts w:ascii="宋体" w:hint="eastAsia"/>
          <w:kern w:val="0"/>
        </w:rPr>
        <w:t>、</w:t>
      </w:r>
      <w:r w:rsidRPr="00A55AC3">
        <w:rPr>
          <w:rFonts w:ascii="宋体" w:hint="eastAsia"/>
          <w:kern w:val="0"/>
        </w:rPr>
        <w:t>2.84</w:t>
      </w:r>
      <w:r w:rsidRPr="00A55AC3">
        <w:rPr>
          <w:rFonts w:ascii="宋体"/>
          <w:kern w:val="0"/>
        </w:rPr>
        <w:t>‰</w:t>
      </w:r>
      <w:r w:rsidRPr="00A55AC3">
        <w:rPr>
          <w:rFonts w:ascii="宋体" w:hint="eastAsia"/>
          <w:kern w:val="0"/>
        </w:rPr>
        <w:t>、</w:t>
      </w:r>
      <w:r w:rsidRPr="00A55AC3">
        <w:rPr>
          <w:rFonts w:ascii="宋体" w:hint="eastAsia"/>
          <w:kern w:val="0"/>
        </w:rPr>
        <w:t>1.02</w:t>
      </w:r>
      <w:r w:rsidRPr="00A55AC3">
        <w:rPr>
          <w:rFonts w:ascii="宋体"/>
          <w:kern w:val="0"/>
        </w:rPr>
        <w:t>‰</w:t>
      </w:r>
      <w:r w:rsidRPr="00A55AC3">
        <w:rPr>
          <w:rFonts w:ascii="宋体" w:hint="eastAsia"/>
          <w:kern w:val="0"/>
        </w:rPr>
        <w:t>。</w:t>
      </w:r>
    </w:p>
    <w:p w:rsidR="00FC4AD8" w:rsidRPr="00A55AC3" w:rsidRDefault="00FC4AD8" w:rsidP="00FC4AD8">
      <w:pPr>
        <w:spacing w:line="360" w:lineRule="auto"/>
        <w:ind w:firstLineChars="198" w:firstLine="636"/>
        <w:rPr>
          <w:rFonts w:ascii="楷体_GB2312" w:eastAsia="楷体_GB2312" w:cs="Arial" w:hint="eastAsia"/>
          <w:b/>
          <w:kern w:val="0"/>
        </w:rPr>
      </w:pPr>
      <w:r w:rsidRPr="00A55AC3">
        <w:rPr>
          <w:rFonts w:ascii="楷体_GB2312" w:eastAsia="楷体_GB2312" w:cs="Arial" w:hint="eastAsia"/>
          <w:b/>
          <w:kern w:val="0"/>
        </w:rPr>
        <w:t>2、效率指标</w:t>
      </w:r>
    </w:p>
    <w:p w:rsidR="00FC4AD8" w:rsidRPr="00A55AC3" w:rsidRDefault="00FC4AD8" w:rsidP="00FC4AD8">
      <w:pPr>
        <w:spacing w:line="360" w:lineRule="auto"/>
        <w:ind w:firstLineChars="198" w:firstLine="636"/>
        <w:rPr>
          <w:rFonts w:cs="Arial" w:hint="eastAsia"/>
          <w:b/>
          <w:kern w:val="0"/>
        </w:rPr>
      </w:pPr>
      <w:r w:rsidRPr="00A55AC3">
        <w:rPr>
          <w:rFonts w:cs="Arial" w:hint="eastAsia"/>
          <w:b/>
          <w:kern w:val="0"/>
        </w:rPr>
        <w:t>（1）法定正常审限内结案率上半年全市基本达到90%以上。</w:t>
      </w:r>
    </w:p>
    <w:p w:rsidR="00FC4AD8" w:rsidRPr="00A55AC3" w:rsidRDefault="00FC4AD8" w:rsidP="00FC4AD8">
      <w:pPr>
        <w:spacing w:line="360" w:lineRule="auto"/>
        <w:ind w:firstLineChars="198" w:firstLine="634"/>
        <w:rPr>
          <w:rFonts w:ascii="宋体" w:hint="eastAsia"/>
        </w:rPr>
      </w:pPr>
      <w:r w:rsidRPr="00A55AC3">
        <w:rPr>
          <w:rFonts w:ascii="宋体" w:hint="eastAsia"/>
        </w:rPr>
        <w:t>2015</w:t>
      </w:r>
      <w:r w:rsidRPr="00A55AC3">
        <w:rPr>
          <w:rFonts w:ascii="宋体" w:hint="eastAsia"/>
        </w:rPr>
        <w:t>年</w:t>
      </w:r>
      <w:r w:rsidRPr="00A55AC3">
        <w:rPr>
          <w:rFonts w:ascii="宋体" w:hint="eastAsia"/>
        </w:rPr>
        <w:t>1-6</w:t>
      </w:r>
      <w:r w:rsidRPr="00A55AC3">
        <w:rPr>
          <w:rFonts w:ascii="宋体" w:hint="eastAsia"/>
        </w:rPr>
        <w:t>月，法定正常审限内结案率为</w:t>
      </w:r>
      <w:r w:rsidRPr="00A55AC3">
        <w:rPr>
          <w:rFonts w:ascii="宋体" w:hint="eastAsia"/>
        </w:rPr>
        <w:t>96.9%</w:t>
      </w:r>
      <w:r w:rsidRPr="00A55AC3">
        <w:rPr>
          <w:rFonts w:ascii="宋体" w:hint="eastAsia"/>
        </w:rPr>
        <w:t>，同比上升了</w:t>
      </w:r>
      <w:r w:rsidRPr="00A55AC3">
        <w:rPr>
          <w:rFonts w:ascii="宋体" w:hint="eastAsia"/>
        </w:rPr>
        <w:t>23.22%</w:t>
      </w:r>
      <w:r w:rsidRPr="00A55AC3">
        <w:rPr>
          <w:rFonts w:ascii="宋体" w:hint="eastAsia"/>
        </w:rPr>
        <w:t>，优于近三年平均值</w:t>
      </w:r>
      <w:r w:rsidRPr="00A55AC3">
        <w:rPr>
          <w:rFonts w:ascii="宋体" w:hint="eastAsia"/>
        </w:rPr>
        <w:t>2.84</w:t>
      </w:r>
      <w:r w:rsidRPr="00A55AC3">
        <w:rPr>
          <w:rFonts w:ascii="宋体" w:hint="eastAsia"/>
        </w:rPr>
        <w:t>个百分点。</w:t>
      </w:r>
      <w:r w:rsidRPr="00A55AC3">
        <w:rPr>
          <w:rFonts w:ascii="宋体" w:hint="eastAsia"/>
        </w:rPr>
        <w:t>12</w:t>
      </w:r>
      <w:r w:rsidRPr="00A55AC3">
        <w:rPr>
          <w:rFonts w:ascii="宋体" w:hint="eastAsia"/>
        </w:rPr>
        <w:t>个基层法院的法定正常审限内结案率超过</w:t>
      </w:r>
      <w:r w:rsidRPr="00A55AC3">
        <w:rPr>
          <w:rFonts w:ascii="宋体" w:hint="eastAsia"/>
        </w:rPr>
        <w:t>90%</w:t>
      </w:r>
      <w:r w:rsidRPr="00A55AC3">
        <w:rPr>
          <w:rFonts w:ascii="宋体" w:hint="eastAsia"/>
        </w:rPr>
        <w:t>，经开、高新法院略低于</w:t>
      </w:r>
      <w:r w:rsidRPr="00A55AC3">
        <w:rPr>
          <w:rFonts w:ascii="宋体" w:hint="eastAsia"/>
        </w:rPr>
        <w:t>90%</w:t>
      </w:r>
      <w:r w:rsidRPr="00A55AC3">
        <w:rPr>
          <w:rFonts w:ascii="宋体" w:hint="eastAsia"/>
        </w:rPr>
        <w:t>，全市基层</w:t>
      </w:r>
      <w:proofErr w:type="gramStart"/>
      <w:r w:rsidRPr="00A55AC3">
        <w:rPr>
          <w:rFonts w:ascii="宋体" w:hint="eastAsia"/>
        </w:rPr>
        <w:t>法院超</w:t>
      </w:r>
      <w:proofErr w:type="gramEnd"/>
      <w:r w:rsidRPr="00A55AC3">
        <w:rPr>
          <w:rFonts w:ascii="宋体" w:hint="eastAsia"/>
        </w:rPr>
        <w:t>审限结案现象得到有效遏制。</w:t>
      </w:r>
    </w:p>
    <w:p w:rsidR="00FC4AD8" w:rsidRPr="00A55AC3" w:rsidRDefault="00FC4AD8" w:rsidP="00FC4AD8">
      <w:pPr>
        <w:spacing w:line="360" w:lineRule="auto"/>
        <w:ind w:firstLineChars="198" w:firstLine="636"/>
        <w:rPr>
          <w:rFonts w:cs="Arial" w:hint="eastAsia"/>
          <w:b/>
          <w:kern w:val="0"/>
        </w:rPr>
      </w:pPr>
      <w:r w:rsidRPr="00A55AC3">
        <w:rPr>
          <w:rFonts w:cs="Arial" w:hint="eastAsia"/>
          <w:b/>
          <w:kern w:val="0"/>
        </w:rPr>
        <w:t>（2）平均执行时间指数仍有个别法院呈现负值。</w:t>
      </w:r>
    </w:p>
    <w:p w:rsidR="00FC4AD8" w:rsidRPr="007E478D" w:rsidRDefault="00FC4AD8" w:rsidP="00FC4AD8">
      <w:pPr>
        <w:spacing w:line="360" w:lineRule="auto"/>
        <w:ind w:firstLineChars="198" w:firstLine="634"/>
        <w:rPr>
          <w:rFonts w:ascii="宋体" w:cs="Arial" w:hint="eastAsia"/>
          <w:kern w:val="0"/>
        </w:rPr>
      </w:pPr>
      <w:r w:rsidRPr="00A55AC3">
        <w:rPr>
          <w:rFonts w:ascii="宋体" w:cs="Arial" w:hint="eastAsia"/>
          <w:kern w:val="0"/>
        </w:rPr>
        <w:t>2015</w:t>
      </w:r>
      <w:r w:rsidRPr="00A55AC3">
        <w:rPr>
          <w:rFonts w:ascii="宋体" w:cs="Arial" w:hint="eastAsia"/>
          <w:kern w:val="0"/>
        </w:rPr>
        <w:t>年</w:t>
      </w:r>
      <w:r w:rsidRPr="00A55AC3">
        <w:rPr>
          <w:rFonts w:ascii="宋体" w:cs="Arial" w:hint="eastAsia"/>
          <w:kern w:val="0"/>
        </w:rPr>
        <w:t>1-6</w:t>
      </w:r>
      <w:r w:rsidRPr="00A55AC3">
        <w:rPr>
          <w:rFonts w:ascii="宋体" w:cs="Arial" w:hint="eastAsia"/>
          <w:kern w:val="0"/>
        </w:rPr>
        <w:t>月，平均执行时间指数为</w:t>
      </w:r>
      <w:r w:rsidRPr="00A55AC3">
        <w:rPr>
          <w:rFonts w:ascii="宋体" w:cs="Arial" w:hint="eastAsia"/>
          <w:kern w:val="0"/>
        </w:rPr>
        <w:t>0.3</w:t>
      </w:r>
      <w:r>
        <w:rPr>
          <w:rFonts w:ascii="宋体" w:cs="Arial" w:hint="eastAsia"/>
          <w:kern w:val="0"/>
        </w:rPr>
        <w:t>2</w:t>
      </w:r>
      <w:r w:rsidRPr="007E478D">
        <w:rPr>
          <w:rFonts w:ascii="宋体" w:cs="Arial" w:hint="eastAsia"/>
          <w:kern w:val="0"/>
        </w:rPr>
        <w:t>，同比下降了</w:t>
      </w:r>
      <w:r>
        <w:rPr>
          <w:rFonts w:ascii="宋体" w:cs="Arial" w:hint="eastAsia"/>
          <w:kern w:val="0"/>
        </w:rPr>
        <w:t>0.15</w:t>
      </w:r>
      <w:r w:rsidRPr="007E478D">
        <w:rPr>
          <w:rFonts w:ascii="宋体" w:cs="Arial" w:hint="eastAsia"/>
          <w:kern w:val="0"/>
        </w:rPr>
        <w:t>个指数</w:t>
      </w:r>
      <w:r w:rsidRPr="007E478D">
        <w:rPr>
          <w:rFonts w:ascii="宋体" w:hint="eastAsia"/>
          <w:kern w:val="0"/>
        </w:rPr>
        <w:t>。其中，</w:t>
      </w:r>
      <w:r>
        <w:rPr>
          <w:rFonts w:ascii="宋体" w:hint="eastAsia"/>
          <w:kern w:val="0"/>
        </w:rPr>
        <w:t>经开、高新</w:t>
      </w:r>
      <w:r w:rsidRPr="007E478D">
        <w:rPr>
          <w:rFonts w:ascii="宋体" w:hint="eastAsia"/>
          <w:kern w:val="0"/>
        </w:rPr>
        <w:t>法院的平均执行时间指数为负值，</w:t>
      </w:r>
      <w:r>
        <w:rPr>
          <w:rFonts w:ascii="宋体" w:hint="eastAsia"/>
          <w:kern w:val="0"/>
        </w:rPr>
        <w:t>均</w:t>
      </w:r>
      <w:r w:rsidRPr="007E478D">
        <w:rPr>
          <w:rFonts w:ascii="宋体" w:hint="eastAsia"/>
          <w:kern w:val="0"/>
        </w:rPr>
        <w:t>为</w:t>
      </w:r>
      <w:r>
        <w:rPr>
          <w:rFonts w:ascii="宋体" w:hint="eastAsia"/>
          <w:kern w:val="0"/>
        </w:rPr>
        <w:t>-0.16</w:t>
      </w:r>
      <w:r w:rsidRPr="007E478D">
        <w:rPr>
          <w:rFonts w:ascii="宋体" w:cs="Arial" w:hint="eastAsia"/>
          <w:kern w:val="0"/>
        </w:rPr>
        <w:t>。</w:t>
      </w:r>
    </w:p>
    <w:p w:rsidR="00FC4AD8" w:rsidRPr="007E478D" w:rsidRDefault="00FC4AD8" w:rsidP="00FC4AD8">
      <w:pPr>
        <w:spacing w:line="360" w:lineRule="auto"/>
        <w:ind w:firstLineChars="198" w:firstLine="636"/>
        <w:rPr>
          <w:rFonts w:ascii="楷体_GB2312" w:eastAsia="楷体_GB2312" w:hint="eastAsia"/>
          <w:b/>
          <w:kern w:val="0"/>
        </w:rPr>
      </w:pPr>
      <w:r w:rsidRPr="007E478D">
        <w:rPr>
          <w:rFonts w:ascii="楷体_GB2312" w:eastAsia="楷体_GB2312" w:hint="eastAsia"/>
          <w:b/>
          <w:kern w:val="0"/>
        </w:rPr>
        <w:t>3、效果指标</w:t>
      </w:r>
    </w:p>
    <w:p w:rsidR="00FC4AD8" w:rsidRPr="007E478D" w:rsidRDefault="00FC4AD8" w:rsidP="00FC4AD8">
      <w:pPr>
        <w:spacing w:line="360" w:lineRule="auto"/>
        <w:ind w:firstLineChars="198" w:firstLine="636"/>
        <w:rPr>
          <w:rFonts w:hint="eastAsia"/>
          <w:b/>
          <w:kern w:val="0"/>
        </w:rPr>
      </w:pPr>
      <w:r w:rsidRPr="007E478D">
        <w:rPr>
          <w:rFonts w:hint="eastAsia"/>
          <w:b/>
          <w:kern w:val="0"/>
        </w:rPr>
        <w:t>（1）执行</w:t>
      </w:r>
      <w:r>
        <w:rPr>
          <w:rFonts w:hint="eastAsia"/>
          <w:b/>
          <w:kern w:val="0"/>
        </w:rPr>
        <w:t>效果有待加强</w:t>
      </w:r>
      <w:r w:rsidRPr="007E478D">
        <w:rPr>
          <w:rFonts w:hint="eastAsia"/>
          <w:b/>
          <w:kern w:val="0"/>
        </w:rPr>
        <w:t>。</w:t>
      </w:r>
    </w:p>
    <w:p w:rsidR="00FC4AD8" w:rsidRPr="007E478D" w:rsidRDefault="00FC4AD8" w:rsidP="00FC4AD8">
      <w:pPr>
        <w:spacing w:line="360" w:lineRule="auto"/>
        <w:ind w:firstLineChars="198" w:firstLine="634"/>
        <w:rPr>
          <w:rFonts w:ascii="宋体" w:cs="Arial" w:hint="eastAsia"/>
          <w:kern w:val="0"/>
        </w:rPr>
      </w:pPr>
      <w:r w:rsidRPr="007E478D">
        <w:rPr>
          <w:rFonts w:ascii="宋体" w:cs="Arial" w:hint="eastAsia"/>
          <w:kern w:val="0"/>
        </w:rPr>
        <w:t>2015</w:t>
      </w:r>
      <w:r w:rsidRPr="007E478D">
        <w:rPr>
          <w:rFonts w:ascii="宋体" w:cs="Arial" w:hint="eastAsia"/>
          <w:kern w:val="0"/>
        </w:rPr>
        <w:t>年</w:t>
      </w:r>
      <w:r w:rsidRPr="007E478D">
        <w:rPr>
          <w:rFonts w:ascii="宋体" w:cs="Arial" w:hint="eastAsia"/>
          <w:kern w:val="0"/>
        </w:rPr>
        <w:t>1-</w:t>
      </w:r>
      <w:r>
        <w:rPr>
          <w:rFonts w:ascii="宋体" w:cs="Arial" w:hint="eastAsia"/>
          <w:kern w:val="0"/>
        </w:rPr>
        <w:t>6</w:t>
      </w:r>
      <w:r w:rsidRPr="007E478D">
        <w:rPr>
          <w:rFonts w:ascii="宋体" w:cs="Arial" w:hint="eastAsia"/>
          <w:kern w:val="0"/>
        </w:rPr>
        <w:t>月，实际执行率为</w:t>
      </w:r>
      <w:r>
        <w:rPr>
          <w:rFonts w:ascii="宋体" w:cs="Arial" w:hint="eastAsia"/>
          <w:kern w:val="0"/>
        </w:rPr>
        <w:t>34.24</w:t>
      </w:r>
      <w:r w:rsidRPr="007E478D">
        <w:rPr>
          <w:rFonts w:ascii="宋体" w:cs="Arial" w:hint="eastAsia"/>
          <w:kern w:val="0"/>
        </w:rPr>
        <w:t>%</w:t>
      </w:r>
      <w:r w:rsidRPr="007E478D">
        <w:rPr>
          <w:rFonts w:ascii="宋体" w:cs="Arial" w:hint="eastAsia"/>
          <w:kern w:val="0"/>
        </w:rPr>
        <w:t>，同比下降了</w:t>
      </w:r>
      <w:r>
        <w:rPr>
          <w:rFonts w:ascii="宋体" w:cs="Arial" w:hint="eastAsia"/>
          <w:kern w:val="0"/>
        </w:rPr>
        <w:t>55.8</w:t>
      </w:r>
      <w:r w:rsidRPr="007E478D">
        <w:rPr>
          <w:rFonts w:ascii="宋体" w:cs="Arial" w:hint="eastAsia"/>
          <w:kern w:val="0"/>
        </w:rPr>
        <w:t>%</w:t>
      </w:r>
      <w:r w:rsidRPr="007E478D">
        <w:rPr>
          <w:rFonts w:ascii="宋体" w:cs="Arial" w:hint="eastAsia"/>
          <w:kern w:val="0"/>
        </w:rPr>
        <w:t>，劣于近三年平均值</w:t>
      </w:r>
      <w:r>
        <w:rPr>
          <w:rFonts w:ascii="宋体" w:cs="Arial" w:hint="eastAsia"/>
          <w:kern w:val="0"/>
        </w:rPr>
        <w:t>54.53</w:t>
      </w:r>
      <w:r w:rsidRPr="007E478D">
        <w:rPr>
          <w:rFonts w:ascii="宋体" w:cs="Arial" w:hint="eastAsia"/>
          <w:kern w:val="0"/>
        </w:rPr>
        <w:t>个百分点</w:t>
      </w:r>
      <w:r w:rsidRPr="007E478D">
        <w:rPr>
          <w:rFonts w:ascii="宋体" w:hint="eastAsia"/>
          <w:kern w:val="0"/>
        </w:rPr>
        <w:t>。全市基层法院的实际执行率两级分化明显，其中，农安法院</w:t>
      </w:r>
      <w:r>
        <w:rPr>
          <w:rFonts w:ascii="宋体" w:hint="eastAsia"/>
          <w:kern w:val="0"/>
        </w:rPr>
        <w:t>的</w:t>
      </w:r>
      <w:r w:rsidRPr="007E478D">
        <w:rPr>
          <w:rFonts w:ascii="宋体" w:hint="eastAsia"/>
          <w:kern w:val="0"/>
        </w:rPr>
        <w:t>实际执行率</w:t>
      </w:r>
      <w:r>
        <w:rPr>
          <w:rFonts w:ascii="宋体" w:hint="eastAsia"/>
          <w:kern w:val="0"/>
        </w:rPr>
        <w:t>虽然有所提升，但仍停留在个位数，</w:t>
      </w:r>
      <w:r w:rsidRPr="007E478D">
        <w:rPr>
          <w:rFonts w:ascii="宋体" w:hint="eastAsia"/>
          <w:kern w:val="0"/>
        </w:rPr>
        <w:t>指标</w:t>
      </w:r>
      <w:r>
        <w:rPr>
          <w:rFonts w:ascii="宋体" w:hint="eastAsia"/>
          <w:kern w:val="0"/>
        </w:rPr>
        <w:t>值</w:t>
      </w:r>
      <w:r w:rsidRPr="007E478D">
        <w:rPr>
          <w:rFonts w:ascii="宋体" w:hint="eastAsia"/>
          <w:kern w:val="0"/>
        </w:rPr>
        <w:t>为</w:t>
      </w:r>
      <w:r>
        <w:rPr>
          <w:rFonts w:ascii="宋体" w:hint="eastAsia"/>
          <w:kern w:val="0"/>
        </w:rPr>
        <w:t>7.9</w:t>
      </w:r>
      <w:r w:rsidRPr="007E478D">
        <w:rPr>
          <w:rFonts w:ascii="宋体" w:hint="eastAsia"/>
          <w:kern w:val="0"/>
        </w:rPr>
        <w:t>%</w:t>
      </w:r>
      <w:r w:rsidRPr="007E478D">
        <w:rPr>
          <w:rFonts w:ascii="宋体" w:hint="eastAsia"/>
          <w:kern w:val="0"/>
        </w:rPr>
        <w:t>。</w:t>
      </w:r>
    </w:p>
    <w:p w:rsidR="00FC4AD8" w:rsidRPr="007E478D" w:rsidRDefault="00FC4AD8" w:rsidP="00FC4AD8">
      <w:pPr>
        <w:spacing w:line="360" w:lineRule="auto"/>
        <w:ind w:firstLineChars="198" w:firstLine="634"/>
        <w:rPr>
          <w:rFonts w:ascii="宋体" w:hint="eastAsia"/>
          <w:kern w:val="0"/>
        </w:rPr>
      </w:pPr>
      <w:r w:rsidRPr="007E478D">
        <w:rPr>
          <w:rFonts w:ascii="宋体" w:cs="Arial" w:hint="eastAsia"/>
          <w:kern w:val="0"/>
        </w:rPr>
        <w:lastRenderedPageBreak/>
        <w:t>2015</w:t>
      </w:r>
      <w:r w:rsidRPr="007E478D">
        <w:rPr>
          <w:rFonts w:ascii="宋体" w:cs="Arial" w:hint="eastAsia"/>
          <w:kern w:val="0"/>
        </w:rPr>
        <w:t>年</w:t>
      </w:r>
      <w:r w:rsidRPr="007E478D">
        <w:rPr>
          <w:rFonts w:ascii="宋体" w:cs="Arial" w:hint="eastAsia"/>
          <w:kern w:val="0"/>
        </w:rPr>
        <w:t>1-</w:t>
      </w:r>
      <w:r>
        <w:rPr>
          <w:rFonts w:ascii="宋体" w:cs="Arial" w:hint="eastAsia"/>
          <w:kern w:val="0"/>
        </w:rPr>
        <w:t>6</w:t>
      </w:r>
      <w:r w:rsidRPr="007E478D">
        <w:rPr>
          <w:rFonts w:ascii="宋体" w:cs="Arial" w:hint="eastAsia"/>
          <w:kern w:val="0"/>
        </w:rPr>
        <w:t>月，执行标的到位率为</w:t>
      </w:r>
      <w:r>
        <w:rPr>
          <w:rFonts w:ascii="宋体" w:cs="Arial" w:hint="eastAsia"/>
          <w:kern w:val="0"/>
        </w:rPr>
        <w:t>27.57</w:t>
      </w:r>
      <w:r w:rsidRPr="007E478D">
        <w:rPr>
          <w:rFonts w:ascii="宋体" w:cs="Arial" w:hint="eastAsia"/>
          <w:kern w:val="0"/>
        </w:rPr>
        <w:t>%</w:t>
      </w:r>
      <w:r w:rsidRPr="007E478D">
        <w:rPr>
          <w:rFonts w:ascii="宋体" w:cs="Arial" w:hint="eastAsia"/>
          <w:kern w:val="0"/>
        </w:rPr>
        <w:t>，同比下降了</w:t>
      </w:r>
      <w:r>
        <w:rPr>
          <w:rFonts w:ascii="宋体" w:cs="Arial" w:hint="eastAsia"/>
          <w:kern w:val="0"/>
        </w:rPr>
        <w:t>48.9</w:t>
      </w:r>
      <w:r w:rsidRPr="007E478D">
        <w:rPr>
          <w:rFonts w:ascii="宋体" w:cs="Arial" w:hint="eastAsia"/>
          <w:kern w:val="0"/>
        </w:rPr>
        <w:t>%</w:t>
      </w:r>
      <w:r w:rsidRPr="007E478D">
        <w:rPr>
          <w:rFonts w:ascii="宋体" w:cs="Arial" w:hint="eastAsia"/>
          <w:kern w:val="0"/>
        </w:rPr>
        <w:t>，劣于近三年平均值</w:t>
      </w:r>
      <w:r>
        <w:rPr>
          <w:rFonts w:ascii="宋体" w:cs="Arial" w:hint="eastAsia"/>
          <w:kern w:val="0"/>
        </w:rPr>
        <w:t>56.67</w:t>
      </w:r>
      <w:r w:rsidRPr="007E478D">
        <w:rPr>
          <w:rFonts w:ascii="宋体" w:cs="Arial" w:hint="eastAsia"/>
          <w:kern w:val="0"/>
        </w:rPr>
        <w:t>个百分点</w:t>
      </w:r>
      <w:r w:rsidRPr="007E478D">
        <w:rPr>
          <w:rFonts w:ascii="宋体" w:hint="eastAsia"/>
          <w:kern w:val="0"/>
        </w:rPr>
        <w:t>。其中，南关、</w:t>
      </w:r>
      <w:r>
        <w:rPr>
          <w:rFonts w:ascii="宋体" w:hint="eastAsia"/>
          <w:kern w:val="0"/>
        </w:rPr>
        <w:t>二道、九台、高新</w:t>
      </w:r>
      <w:r w:rsidRPr="007E478D">
        <w:rPr>
          <w:rFonts w:ascii="宋体" w:hint="eastAsia"/>
          <w:kern w:val="0"/>
        </w:rPr>
        <w:t>法院的执行标的到位率呈现个位数，分别为</w:t>
      </w:r>
      <w:r>
        <w:rPr>
          <w:rFonts w:ascii="宋体" w:hint="eastAsia"/>
          <w:kern w:val="0"/>
        </w:rPr>
        <w:t>8.16</w:t>
      </w:r>
      <w:r w:rsidRPr="007E478D">
        <w:rPr>
          <w:rFonts w:ascii="宋体" w:hint="eastAsia"/>
          <w:kern w:val="0"/>
        </w:rPr>
        <w:t>%</w:t>
      </w:r>
      <w:r w:rsidRPr="007E478D">
        <w:rPr>
          <w:rFonts w:ascii="宋体" w:hint="eastAsia"/>
          <w:kern w:val="0"/>
        </w:rPr>
        <w:t>、</w:t>
      </w:r>
      <w:r>
        <w:rPr>
          <w:rFonts w:ascii="宋体" w:hint="eastAsia"/>
          <w:kern w:val="0"/>
        </w:rPr>
        <w:t>7.8</w:t>
      </w:r>
      <w:r w:rsidRPr="007E478D">
        <w:rPr>
          <w:rFonts w:ascii="宋体" w:hint="eastAsia"/>
          <w:kern w:val="0"/>
        </w:rPr>
        <w:t>%</w:t>
      </w:r>
      <w:r>
        <w:rPr>
          <w:rFonts w:ascii="宋体" w:hint="eastAsia"/>
          <w:kern w:val="0"/>
        </w:rPr>
        <w:t>、</w:t>
      </w:r>
      <w:r>
        <w:rPr>
          <w:rFonts w:ascii="宋体" w:hint="eastAsia"/>
          <w:kern w:val="0"/>
        </w:rPr>
        <w:t>9.92</w:t>
      </w:r>
      <w:r w:rsidRPr="007E478D">
        <w:rPr>
          <w:rFonts w:ascii="宋体" w:hint="eastAsia"/>
          <w:kern w:val="0"/>
        </w:rPr>
        <w:t>%</w:t>
      </w:r>
      <w:r w:rsidRPr="007E478D">
        <w:rPr>
          <w:rFonts w:ascii="宋体" w:hint="eastAsia"/>
          <w:kern w:val="0"/>
        </w:rPr>
        <w:t>、</w:t>
      </w:r>
      <w:r>
        <w:rPr>
          <w:rFonts w:ascii="宋体" w:hint="eastAsia"/>
          <w:kern w:val="0"/>
        </w:rPr>
        <w:t>8.7</w:t>
      </w:r>
      <w:r w:rsidRPr="007E478D">
        <w:rPr>
          <w:rFonts w:ascii="宋体" w:hint="eastAsia"/>
          <w:kern w:val="0"/>
        </w:rPr>
        <w:t>%</w:t>
      </w:r>
      <w:r w:rsidRPr="007E478D">
        <w:rPr>
          <w:rFonts w:ascii="宋体" w:hint="eastAsia"/>
          <w:kern w:val="0"/>
        </w:rPr>
        <w:t>；</w:t>
      </w:r>
      <w:proofErr w:type="gramStart"/>
      <w:r w:rsidRPr="007E478D">
        <w:rPr>
          <w:rFonts w:ascii="宋体" w:hint="eastAsia"/>
          <w:kern w:val="0"/>
        </w:rPr>
        <w:t>汽开法院</w:t>
      </w:r>
      <w:proofErr w:type="gramEnd"/>
      <w:r w:rsidRPr="007E478D">
        <w:rPr>
          <w:rFonts w:ascii="宋体" w:hint="eastAsia"/>
          <w:kern w:val="0"/>
        </w:rPr>
        <w:t>的执行标的到位率超百分之百现象</w:t>
      </w:r>
      <w:r>
        <w:rPr>
          <w:rFonts w:ascii="宋体" w:hint="eastAsia"/>
          <w:kern w:val="0"/>
        </w:rPr>
        <w:t>持续</w:t>
      </w:r>
      <w:r w:rsidRPr="007E478D">
        <w:rPr>
          <w:rFonts w:ascii="宋体" w:hint="eastAsia"/>
          <w:kern w:val="0"/>
        </w:rPr>
        <w:t>，</w:t>
      </w:r>
      <w:r>
        <w:rPr>
          <w:rFonts w:ascii="宋体" w:hint="eastAsia"/>
          <w:kern w:val="0"/>
        </w:rPr>
        <w:t>指标值</w:t>
      </w:r>
      <w:r w:rsidRPr="007E478D">
        <w:rPr>
          <w:rFonts w:ascii="宋体" w:hint="eastAsia"/>
          <w:kern w:val="0"/>
        </w:rPr>
        <w:t>为</w:t>
      </w:r>
      <w:r>
        <w:rPr>
          <w:rFonts w:ascii="宋体" w:hint="eastAsia"/>
          <w:kern w:val="0"/>
        </w:rPr>
        <w:t>143.66</w:t>
      </w:r>
      <w:r w:rsidRPr="007E478D">
        <w:rPr>
          <w:rFonts w:ascii="宋体" w:hint="eastAsia"/>
          <w:kern w:val="0"/>
        </w:rPr>
        <w:t>%</w:t>
      </w:r>
      <w:r w:rsidRPr="007E478D">
        <w:rPr>
          <w:rFonts w:ascii="宋体" w:hint="eastAsia"/>
          <w:kern w:val="0"/>
        </w:rPr>
        <w:t>。</w:t>
      </w:r>
    </w:p>
    <w:p w:rsidR="00FC4AD8" w:rsidRPr="007E478D" w:rsidRDefault="00FC4AD8" w:rsidP="00FC4AD8">
      <w:pPr>
        <w:spacing w:line="360" w:lineRule="auto"/>
        <w:ind w:firstLineChars="198" w:firstLine="636"/>
        <w:rPr>
          <w:rFonts w:ascii="宋体"/>
          <w:b/>
          <w:kern w:val="0"/>
        </w:rPr>
      </w:pPr>
      <w:r w:rsidRPr="007E478D">
        <w:rPr>
          <w:rFonts w:ascii="宋体" w:hint="eastAsia"/>
          <w:b/>
          <w:kern w:val="0"/>
        </w:rPr>
        <w:t>（</w:t>
      </w:r>
      <w:r w:rsidRPr="007E478D">
        <w:rPr>
          <w:rFonts w:ascii="宋体" w:hint="eastAsia"/>
          <w:b/>
          <w:kern w:val="0"/>
        </w:rPr>
        <w:t>2</w:t>
      </w:r>
      <w:r w:rsidRPr="007E478D">
        <w:rPr>
          <w:rFonts w:ascii="宋体" w:hint="eastAsia"/>
          <w:b/>
          <w:kern w:val="0"/>
        </w:rPr>
        <w:t>）全市再审审查率两级分化明显。</w:t>
      </w:r>
    </w:p>
    <w:p w:rsidR="00FC4AD8" w:rsidRPr="007E478D" w:rsidRDefault="00FC4AD8" w:rsidP="00FC4AD8">
      <w:pPr>
        <w:snapToGrid w:val="0"/>
        <w:spacing w:line="360" w:lineRule="auto"/>
        <w:ind w:firstLineChars="200" w:firstLine="640"/>
        <w:jc w:val="left"/>
        <w:rPr>
          <w:rFonts w:ascii="宋体" w:hint="eastAsia"/>
        </w:rPr>
      </w:pPr>
      <w:r w:rsidRPr="007E478D">
        <w:rPr>
          <w:rFonts w:ascii="宋体" w:hint="eastAsia"/>
        </w:rPr>
        <w:t>2015</w:t>
      </w:r>
      <w:r w:rsidRPr="007E478D">
        <w:rPr>
          <w:rFonts w:ascii="宋体" w:hint="eastAsia"/>
        </w:rPr>
        <w:t>年</w:t>
      </w:r>
      <w:r w:rsidRPr="007E478D">
        <w:rPr>
          <w:rFonts w:ascii="宋体" w:hint="eastAsia"/>
        </w:rPr>
        <w:t>1-</w:t>
      </w:r>
      <w:r>
        <w:rPr>
          <w:rFonts w:ascii="宋体" w:hint="eastAsia"/>
        </w:rPr>
        <w:t>6</w:t>
      </w:r>
      <w:r w:rsidRPr="007E478D">
        <w:rPr>
          <w:rFonts w:ascii="宋体" w:hint="eastAsia"/>
        </w:rPr>
        <w:t>月，再审审查率为</w:t>
      </w:r>
      <w:r>
        <w:rPr>
          <w:rFonts w:ascii="宋体" w:hint="eastAsia"/>
        </w:rPr>
        <w:t>7.06</w:t>
      </w:r>
      <w:r w:rsidRPr="007E478D">
        <w:rPr>
          <w:rFonts w:ascii="宋体" w:hint="eastAsia"/>
        </w:rPr>
        <w:t>%</w:t>
      </w:r>
      <w:r w:rsidRPr="007E478D">
        <w:rPr>
          <w:rFonts w:ascii="宋体" w:hint="eastAsia"/>
        </w:rPr>
        <w:t>，同比上升了</w:t>
      </w:r>
      <w:r>
        <w:rPr>
          <w:rFonts w:ascii="宋体" w:hint="eastAsia"/>
        </w:rPr>
        <w:t>3.06</w:t>
      </w:r>
      <w:r w:rsidRPr="007E478D">
        <w:rPr>
          <w:rFonts w:ascii="宋体" w:hint="eastAsia"/>
        </w:rPr>
        <w:t>%</w:t>
      </w:r>
      <w:r w:rsidRPr="007E478D">
        <w:rPr>
          <w:rFonts w:ascii="宋体" w:hint="eastAsia"/>
        </w:rPr>
        <w:t>，劣于近三年平均值</w:t>
      </w:r>
      <w:r>
        <w:rPr>
          <w:rFonts w:ascii="宋体" w:hint="eastAsia"/>
        </w:rPr>
        <w:t>2.88</w:t>
      </w:r>
      <w:r w:rsidRPr="007E478D">
        <w:rPr>
          <w:rFonts w:ascii="宋体" w:hint="eastAsia"/>
        </w:rPr>
        <w:t>个百分点。其中，南关、德惠法院的再审审查率较高，分别为</w:t>
      </w:r>
      <w:r>
        <w:rPr>
          <w:rFonts w:ascii="宋体" w:hint="eastAsia"/>
        </w:rPr>
        <w:t>16.85</w:t>
      </w:r>
      <w:r w:rsidRPr="007E478D">
        <w:rPr>
          <w:rFonts w:ascii="宋体" w:hint="eastAsia"/>
        </w:rPr>
        <w:t>%</w:t>
      </w:r>
      <w:r w:rsidRPr="007E478D">
        <w:rPr>
          <w:rFonts w:ascii="宋体" w:hint="eastAsia"/>
        </w:rPr>
        <w:t>、</w:t>
      </w:r>
      <w:r>
        <w:rPr>
          <w:rFonts w:ascii="宋体" w:hint="eastAsia"/>
        </w:rPr>
        <w:t>27.04</w:t>
      </w:r>
      <w:r w:rsidRPr="007E478D">
        <w:rPr>
          <w:rFonts w:ascii="宋体" w:hint="eastAsia"/>
        </w:rPr>
        <w:t>%</w:t>
      </w:r>
      <w:r w:rsidRPr="007E478D">
        <w:rPr>
          <w:rFonts w:ascii="宋体" w:hint="eastAsia"/>
        </w:rPr>
        <w:t>；高新、净</w:t>
      </w:r>
      <w:proofErr w:type="gramStart"/>
      <w:r w:rsidRPr="007E478D">
        <w:rPr>
          <w:rFonts w:ascii="宋体" w:hint="eastAsia"/>
        </w:rPr>
        <w:t>月法院</w:t>
      </w:r>
      <w:proofErr w:type="gramEnd"/>
      <w:r w:rsidRPr="007E478D">
        <w:rPr>
          <w:rFonts w:ascii="宋体" w:hint="eastAsia"/>
        </w:rPr>
        <w:t>的再审审查率保持为</w:t>
      </w:r>
      <w:r w:rsidRPr="007E478D">
        <w:rPr>
          <w:rFonts w:ascii="宋体" w:hint="eastAsia"/>
        </w:rPr>
        <w:t>0</w:t>
      </w:r>
      <w:r w:rsidRPr="007E478D">
        <w:rPr>
          <w:rFonts w:ascii="宋体" w:hint="eastAsia"/>
        </w:rPr>
        <w:t>的好成绩。</w:t>
      </w:r>
    </w:p>
    <w:p w:rsidR="00FC4AD8" w:rsidRDefault="00FC4AD8" w:rsidP="00FC4AD8">
      <w:pPr>
        <w:snapToGrid w:val="0"/>
        <w:spacing w:line="360" w:lineRule="auto"/>
        <w:ind w:firstLineChars="200" w:firstLine="600"/>
        <w:jc w:val="left"/>
        <w:rPr>
          <w:rFonts w:ascii="宋体" w:hint="eastAsia"/>
          <w:sz w:val="30"/>
          <w:szCs w:val="30"/>
        </w:rPr>
      </w:pPr>
    </w:p>
    <w:p w:rsidR="00FC4AD8" w:rsidRDefault="00FC4AD8" w:rsidP="00FC4AD8">
      <w:pPr>
        <w:snapToGrid w:val="0"/>
        <w:spacing w:line="360" w:lineRule="auto"/>
        <w:ind w:firstLineChars="200" w:firstLine="600"/>
        <w:jc w:val="left"/>
        <w:rPr>
          <w:rFonts w:ascii="宋体"/>
          <w:color w:val="FF0000"/>
          <w:sz w:val="30"/>
          <w:szCs w:val="30"/>
        </w:rPr>
        <w:sectPr w:rsidR="00FC4AD8">
          <w:pgSz w:w="11906" w:h="16838"/>
          <w:pgMar w:top="1814" w:right="1588" w:bottom="1418" w:left="1588" w:header="680" w:footer="680" w:gutter="0"/>
          <w:pgNumType w:fmt="numberInDash" w:start="1"/>
          <w:cols w:space="720"/>
          <w:docGrid w:type="lines" w:linePitch="435"/>
        </w:sectPr>
      </w:pPr>
    </w:p>
    <w:tbl>
      <w:tblPr>
        <w:tblW w:w="14119" w:type="dxa"/>
        <w:jc w:val="center"/>
        <w:tblInd w:w="-457" w:type="dxa"/>
        <w:tblLayout w:type="fixed"/>
        <w:tblLook w:val="0000"/>
      </w:tblPr>
      <w:tblGrid>
        <w:gridCol w:w="480"/>
        <w:gridCol w:w="640"/>
        <w:gridCol w:w="800"/>
        <w:gridCol w:w="960"/>
        <w:gridCol w:w="808"/>
        <w:gridCol w:w="624"/>
        <w:gridCol w:w="689"/>
        <w:gridCol w:w="909"/>
        <w:gridCol w:w="667"/>
        <w:gridCol w:w="776"/>
        <w:gridCol w:w="844"/>
        <w:gridCol w:w="720"/>
        <w:gridCol w:w="685"/>
        <w:gridCol w:w="750"/>
        <w:gridCol w:w="738"/>
        <w:gridCol w:w="685"/>
        <w:gridCol w:w="876"/>
        <w:gridCol w:w="685"/>
        <w:gridCol w:w="756"/>
        <w:gridCol w:w="27"/>
      </w:tblGrid>
      <w:tr w:rsidR="00FC4AD8" w:rsidRPr="00A5540E" w:rsidTr="00E16658">
        <w:trPr>
          <w:gridAfter w:val="1"/>
          <w:wAfter w:w="27" w:type="dxa"/>
          <w:trHeight w:val="468"/>
          <w:jc w:val="center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AD8" w:rsidRPr="00A5540E" w:rsidRDefault="00FC4AD8" w:rsidP="00E16658">
            <w:pPr>
              <w:widowControl/>
              <w:jc w:val="center"/>
              <w:outlineLvl w:val="0"/>
              <w:rPr>
                <w:rFonts w:ascii="宋体" w:cs="Arial"/>
                <w:kern w:val="0"/>
                <w:sz w:val="18"/>
                <w:szCs w:val="18"/>
              </w:rPr>
            </w:pPr>
            <w:r w:rsidRPr="00A5540E">
              <w:rPr>
                <w:sz w:val="18"/>
                <w:szCs w:val="18"/>
              </w:rPr>
              <w:lastRenderedPageBreak/>
              <w:br w:type="page"/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AD8" w:rsidRPr="00A5540E" w:rsidRDefault="00FC4AD8" w:rsidP="00E16658">
            <w:pPr>
              <w:widowControl/>
              <w:jc w:val="center"/>
              <w:outlineLvl w:val="0"/>
              <w:rPr>
                <w:rFonts w:ascii="宋体" w:cs="Arial"/>
                <w:kern w:val="0"/>
                <w:sz w:val="18"/>
                <w:szCs w:val="18"/>
              </w:rPr>
            </w:pPr>
          </w:p>
        </w:tc>
        <w:tc>
          <w:tcPr>
            <w:tcW w:w="1297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4AD8" w:rsidRPr="00A5540E" w:rsidRDefault="00FC4AD8" w:rsidP="00E16658">
            <w:pPr>
              <w:widowControl/>
              <w:jc w:val="center"/>
              <w:outlineLvl w:val="0"/>
              <w:rPr>
                <w:rFonts w:ascii="宋体" w:cs="Arial"/>
                <w:b/>
                <w:kern w:val="0"/>
                <w:sz w:val="18"/>
                <w:szCs w:val="18"/>
              </w:rPr>
            </w:pPr>
            <w:bookmarkStart w:id="0" w:name="_Toc416940782"/>
            <w:r w:rsidRPr="00A5540E">
              <w:rPr>
                <w:rFonts w:ascii="宋体" w:cs="Arial" w:hint="eastAsia"/>
                <w:b/>
                <w:kern w:val="0"/>
                <w:sz w:val="18"/>
                <w:szCs w:val="18"/>
              </w:rPr>
              <w:t>2015</w:t>
            </w:r>
            <w:r w:rsidRPr="00A5540E">
              <w:rPr>
                <w:rFonts w:ascii="宋体" w:cs="Arial" w:hint="eastAsia"/>
                <w:b/>
                <w:kern w:val="0"/>
                <w:sz w:val="18"/>
                <w:szCs w:val="18"/>
              </w:rPr>
              <w:t>年</w:t>
            </w:r>
            <w:r w:rsidRPr="00A5540E">
              <w:rPr>
                <w:rFonts w:ascii="宋体" w:cs="Arial" w:hint="eastAsia"/>
                <w:b/>
                <w:kern w:val="0"/>
                <w:sz w:val="18"/>
                <w:szCs w:val="18"/>
              </w:rPr>
              <w:t>1-</w:t>
            </w:r>
            <w:r>
              <w:rPr>
                <w:rFonts w:ascii="宋体" w:cs="Arial" w:hint="eastAsia"/>
                <w:b/>
                <w:kern w:val="0"/>
                <w:sz w:val="18"/>
                <w:szCs w:val="18"/>
              </w:rPr>
              <w:t>6</w:t>
            </w:r>
            <w:r w:rsidRPr="00A5540E">
              <w:rPr>
                <w:rFonts w:ascii="宋体" w:cs="Arial" w:hint="eastAsia"/>
                <w:b/>
                <w:kern w:val="0"/>
                <w:sz w:val="18"/>
                <w:szCs w:val="18"/>
              </w:rPr>
              <w:t>月份全市基层法院审判质</w:t>
            </w:r>
            <w:proofErr w:type="gramStart"/>
            <w:r w:rsidRPr="00A5540E">
              <w:rPr>
                <w:rFonts w:ascii="宋体" w:cs="Arial" w:hint="eastAsia"/>
                <w:b/>
                <w:kern w:val="0"/>
                <w:sz w:val="18"/>
                <w:szCs w:val="18"/>
              </w:rPr>
              <w:t>效指标</w:t>
            </w:r>
            <w:proofErr w:type="gramEnd"/>
            <w:r w:rsidRPr="00A5540E">
              <w:rPr>
                <w:rFonts w:ascii="宋体" w:cs="Arial" w:hint="eastAsia"/>
                <w:b/>
                <w:kern w:val="0"/>
                <w:sz w:val="18"/>
                <w:szCs w:val="18"/>
              </w:rPr>
              <w:t>一览表</w:t>
            </w:r>
            <w:bookmarkEnd w:id="0"/>
            <w:r>
              <w:rPr>
                <w:rFonts w:ascii="宋体" w:cs="Arial" w:hint="eastAsia"/>
                <w:b/>
                <w:kern w:val="0"/>
                <w:sz w:val="18"/>
                <w:szCs w:val="18"/>
              </w:rPr>
              <w:t>（表二）</w:t>
            </w:r>
          </w:p>
        </w:tc>
      </w:tr>
      <w:tr w:rsidR="00FC4AD8" w:rsidRPr="00A5540E" w:rsidTr="00E16658">
        <w:trPr>
          <w:trHeight w:val="139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8" w:rsidRPr="00A5540E" w:rsidRDefault="00FC4AD8" w:rsidP="00E16658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18"/>
                <w:szCs w:val="18"/>
              </w:rPr>
            </w:pPr>
            <w:r w:rsidRPr="00A5540E">
              <w:rPr>
                <w:rFonts w:ascii="宋体" w:cs="Arial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D8" w:rsidRPr="00A5540E" w:rsidRDefault="00FC4AD8" w:rsidP="00E16658">
            <w:pPr>
              <w:jc w:val="center"/>
              <w:rPr>
                <w:rFonts w:ascii="宋体" w:cs="Arial"/>
                <w:b/>
                <w:bCs/>
                <w:sz w:val="18"/>
                <w:szCs w:val="18"/>
              </w:rPr>
            </w:pPr>
            <w:r w:rsidRPr="00A5540E">
              <w:rPr>
                <w:rFonts w:ascii="宋体" w:cs="Arial" w:hint="eastAsia"/>
                <w:b/>
                <w:bCs/>
                <w:sz w:val="18"/>
                <w:szCs w:val="18"/>
              </w:rPr>
              <w:t>法院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D8" w:rsidRPr="00A5540E" w:rsidRDefault="00FC4AD8" w:rsidP="00E16658">
            <w:pPr>
              <w:jc w:val="center"/>
              <w:rPr>
                <w:rFonts w:ascii="宋体" w:cs="Arial"/>
                <w:b/>
                <w:bCs/>
                <w:sz w:val="18"/>
                <w:szCs w:val="18"/>
              </w:rPr>
            </w:pPr>
            <w:r w:rsidRPr="00A5540E">
              <w:rPr>
                <w:rFonts w:ascii="宋体" w:cs="Arial" w:hint="eastAsia"/>
                <w:b/>
                <w:bCs/>
                <w:sz w:val="18"/>
                <w:szCs w:val="18"/>
              </w:rPr>
              <w:t>生效案件改判发回重审率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D8" w:rsidRPr="00A5540E" w:rsidRDefault="00FC4AD8" w:rsidP="00E16658">
            <w:pPr>
              <w:jc w:val="center"/>
              <w:rPr>
                <w:rFonts w:ascii="宋体" w:cs="Arial"/>
                <w:b/>
                <w:bCs/>
                <w:sz w:val="18"/>
                <w:szCs w:val="18"/>
              </w:rPr>
            </w:pPr>
            <w:r w:rsidRPr="00A5540E">
              <w:rPr>
                <w:rFonts w:ascii="宋体" w:cs="Arial" w:hint="eastAsia"/>
                <w:b/>
                <w:bCs/>
                <w:sz w:val="18"/>
                <w:szCs w:val="18"/>
              </w:rPr>
              <w:t>一审判决案件改判发回重审率（错误）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D8" w:rsidRPr="00A5540E" w:rsidRDefault="00FC4AD8" w:rsidP="00E16658">
            <w:pPr>
              <w:jc w:val="center"/>
              <w:rPr>
                <w:rFonts w:ascii="宋体" w:cs="Arial"/>
                <w:b/>
                <w:bCs/>
                <w:sz w:val="18"/>
                <w:szCs w:val="18"/>
              </w:rPr>
            </w:pPr>
            <w:r w:rsidRPr="00A5540E">
              <w:rPr>
                <w:rFonts w:ascii="宋体" w:cs="Arial" w:hint="eastAsia"/>
                <w:b/>
                <w:bCs/>
                <w:sz w:val="18"/>
                <w:szCs w:val="18"/>
              </w:rPr>
              <w:t>法定（正常）审限内结案率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D8" w:rsidRPr="00A5540E" w:rsidRDefault="00FC4AD8" w:rsidP="00E16658">
            <w:pPr>
              <w:jc w:val="center"/>
              <w:rPr>
                <w:rFonts w:ascii="宋体" w:cs="Arial"/>
                <w:b/>
                <w:bCs/>
                <w:sz w:val="18"/>
                <w:szCs w:val="18"/>
              </w:rPr>
            </w:pPr>
            <w:r w:rsidRPr="00A5540E">
              <w:rPr>
                <w:rFonts w:ascii="宋体" w:cs="Arial" w:hint="eastAsia"/>
                <w:b/>
                <w:bCs/>
                <w:sz w:val="18"/>
                <w:szCs w:val="18"/>
              </w:rPr>
              <w:t>实际执行率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D8" w:rsidRPr="00A5540E" w:rsidRDefault="00FC4AD8" w:rsidP="00E16658">
            <w:pPr>
              <w:jc w:val="center"/>
              <w:rPr>
                <w:rFonts w:ascii="宋体" w:cs="Arial"/>
                <w:b/>
                <w:bCs/>
                <w:sz w:val="18"/>
                <w:szCs w:val="18"/>
              </w:rPr>
            </w:pPr>
            <w:r w:rsidRPr="00A5540E">
              <w:rPr>
                <w:rFonts w:ascii="宋体" w:cs="Arial" w:hint="eastAsia"/>
                <w:b/>
                <w:bCs/>
                <w:sz w:val="18"/>
                <w:szCs w:val="18"/>
              </w:rPr>
              <w:t>调解率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D8" w:rsidRPr="00A5540E" w:rsidRDefault="00FC4AD8" w:rsidP="00E16658">
            <w:pPr>
              <w:jc w:val="center"/>
              <w:rPr>
                <w:rFonts w:ascii="宋体" w:cs="Arial"/>
                <w:b/>
                <w:bCs/>
                <w:sz w:val="18"/>
                <w:szCs w:val="18"/>
              </w:rPr>
            </w:pPr>
            <w:r w:rsidRPr="00A5540E">
              <w:rPr>
                <w:rFonts w:ascii="宋体" w:cs="Arial" w:hint="eastAsia"/>
                <w:b/>
                <w:bCs/>
                <w:sz w:val="18"/>
                <w:szCs w:val="18"/>
              </w:rPr>
              <w:t>结案均衡度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D8" w:rsidRPr="00A5540E" w:rsidRDefault="00FC4AD8" w:rsidP="00E16658">
            <w:pPr>
              <w:jc w:val="center"/>
              <w:rPr>
                <w:rFonts w:ascii="宋体" w:cs="Arial"/>
                <w:b/>
                <w:bCs/>
                <w:sz w:val="18"/>
                <w:szCs w:val="18"/>
              </w:rPr>
            </w:pPr>
            <w:r w:rsidRPr="00A5540E">
              <w:rPr>
                <w:rFonts w:ascii="宋体" w:cs="Arial" w:hint="eastAsia"/>
                <w:b/>
                <w:bCs/>
                <w:sz w:val="18"/>
                <w:szCs w:val="18"/>
              </w:rPr>
              <w:t>平均审理时间指数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D8" w:rsidRPr="00A5540E" w:rsidRDefault="00FC4AD8" w:rsidP="00E16658">
            <w:pPr>
              <w:jc w:val="center"/>
              <w:rPr>
                <w:rFonts w:ascii="宋体" w:cs="Arial"/>
                <w:b/>
                <w:bCs/>
                <w:sz w:val="18"/>
                <w:szCs w:val="18"/>
              </w:rPr>
            </w:pPr>
            <w:r w:rsidRPr="00A5540E">
              <w:rPr>
                <w:rFonts w:ascii="宋体" w:cs="Arial" w:hint="eastAsia"/>
                <w:b/>
                <w:bCs/>
                <w:sz w:val="18"/>
                <w:szCs w:val="18"/>
              </w:rPr>
              <w:t>平均执行时间指数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D8" w:rsidRPr="00A5540E" w:rsidRDefault="00FC4AD8" w:rsidP="00E16658">
            <w:pPr>
              <w:jc w:val="center"/>
              <w:rPr>
                <w:rFonts w:ascii="宋体" w:cs="Arial"/>
                <w:b/>
                <w:bCs/>
                <w:sz w:val="18"/>
                <w:szCs w:val="18"/>
              </w:rPr>
            </w:pPr>
            <w:r w:rsidRPr="00A5540E">
              <w:rPr>
                <w:rFonts w:ascii="宋体" w:cs="Arial" w:hint="eastAsia"/>
                <w:b/>
                <w:bCs/>
                <w:sz w:val="18"/>
                <w:szCs w:val="18"/>
              </w:rPr>
              <w:t>执行标的到位率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D8" w:rsidRPr="00A5540E" w:rsidRDefault="00FC4AD8" w:rsidP="00E16658">
            <w:pPr>
              <w:jc w:val="center"/>
              <w:rPr>
                <w:rFonts w:ascii="宋体" w:cs="Arial"/>
                <w:b/>
                <w:bCs/>
                <w:sz w:val="18"/>
                <w:szCs w:val="18"/>
              </w:rPr>
            </w:pPr>
            <w:r w:rsidRPr="00A5540E">
              <w:rPr>
                <w:rFonts w:ascii="宋体" w:cs="Arial" w:hint="eastAsia"/>
                <w:b/>
                <w:bCs/>
                <w:sz w:val="18"/>
                <w:szCs w:val="18"/>
              </w:rPr>
              <w:t>再审审查率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D8" w:rsidRPr="00A5540E" w:rsidRDefault="00FC4AD8" w:rsidP="00E16658">
            <w:pPr>
              <w:jc w:val="center"/>
              <w:rPr>
                <w:rFonts w:ascii="宋体" w:cs="Arial"/>
                <w:b/>
                <w:bCs/>
                <w:sz w:val="18"/>
                <w:szCs w:val="18"/>
              </w:rPr>
            </w:pPr>
            <w:r w:rsidRPr="00A5540E">
              <w:rPr>
                <w:rFonts w:ascii="宋体" w:cs="Arial" w:hint="eastAsia"/>
                <w:b/>
                <w:bCs/>
                <w:sz w:val="18"/>
                <w:szCs w:val="18"/>
              </w:rPr>
              <w:t>撤诉率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D8" w:rsidRPr="00A5540E" w:rsidRDefault="00FC4AD8" w:rsidP="00E16658">
            <w:pPr>
              <w:jc w:val="center"/>
              <w:rPr>
                <w:rFonts w:ascii="宋体" w:cs="Arial"/>
                <w:b/>
                <w:bCs/>
                <w:sz w:val="18"/>
                <w:szCs w:val="18"/>
              </w:rPr>
            </w:pPr>
            <w:r w:rsidRPr="00A5540E">
              <w:rPr>
                <w:rFonts w:ascii="宋体" w:cs="Arial" w:hint="eastAsia"/>
                <w:b/>
                <w:bCs/>
                <w:sz w:val="18"/>
                <w:szCs w:val="18"/>
              </w:rPr>
              <w:t>立案变更率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D8" w:rsidRPr="00A5540E" w:rsidRDefault="00FC4AD8" w:rsidP="00E16658">
            <w:pPr>
              <w:jc w:val="center"/>
              <w:rPr>
                <w:rFonts w:ascii="宋体" w:cs="Arial"/>
                <w:b/>
                <w:bCs/>
                <w:sz w:val="18"/>
                <w:szCs w:val="18"/>
              </w:rPr>
            </w:pPr>
            <w:r w:rsidRPr="00A5540E">
              <w:rPr>
                <w:rFonts w:ascii="宋体" w:cs="Arial" w:hint="eastAsia"/>
                <w:b/>
                <w:bCs/>
                <w:sz w:val="18"/>
                <w:szCs w:val="18"/>
              </w:rPr>
              <w:t>一审服判息诉率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D8" w:rsidRPr="00A5540E" w:rsidRDefault="00FC4AD8" w:rsidP="00E16658">
            <w:pPr>
              <w:jc w:val="center"/>
              <w:rPr>
                <w:rFonts w:ascii="宋体" w:cs="Arial"/>
                <w:b/>
                <w:bCs/>
                <w:sz w:val="18"/>
                <w:szCs w:val="18"/>
              </w:rPr>
            </w:pPr>
            <w:r w:rsidRPr="00A5540E">
              <w:rPr>
                <w:rFonts w:ascii="宋体" w:cs="Arial" w:hint="eastAsia"/>
                <w:b/>
                <w:bCs/>
                <w:sz w:val="18"/>
                <w:szCs w:val="18"/>
              </w:rPr>
              <w:t>一审案件陪审率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D8" w:rsidRPr="00A5540E" w:rsidRDefault="00FC4AD8" w:rsidP="00E16658">
            <w:pPr>
              <w:jc w:val="center"/>
              <w:rPr>
                <w:rFonts w:ascii="宋体" w:cs="Arial"/>
                <w:b/>
                <w:bCs/>
                <w:sz w:val="18"/>
                <w:szCs w:val="18"/>
              </w:rPr>
            </w:pPr>
            <w:r w:rsidRPr="00A5540E">
              <w:rPr>
                <w:rFonts w:ascii="宋体" w:cs="Arial" w:hint="eastAsia"/>
                <w:b/>
                <w:bCs/>
                <w:sz w:val="18"/>
                <w:szCs w:val="18"/>
              </w:rPr>
              <w:t>一审简易程序适用率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D8" w:rsidRPr="00A5540E" w:rsidRDefault="00FC4AD8" w:rsidP="00E16658">
            <w:pPr>
              <w:jc w:val="center"/>
              <w:rPr>
                <w:rFonts w:ascii="宋体" w:cs="Arial"/>
                <w:b/>
                <w:bCs/>
                <w:sz w:val="18"/>
                <w:szCs w:val="18"/>
              </w:rPr>
            </w:pPr>
            <w:r w:rsidRPr="00A5540E">
              <w:rPr>
                <w:rFonts w:ascii="宋体" w:cs="Arial" w:hint="eastAsia"/>
                <w:b/>
                <w:bCs/>
                <w:sz w:val="18"/>
                <w:szCs w:val="18"/>
              </w:rPr>
              <w:t>当庭裁判率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AD8" w:rsidRPr="00A5540E" w:rsidRDefault="00FC4AD8" w:rsidP="00E16658">
            <w:pPr>
              <w:jc w:val="center"/>
              <w:rPr>
                <w:rFonts w:ascii="宋体" w:cs="Arial" w:hint="eastAsia"/>
                <w:b/>
                <w:bCs/>
                <w:sz w:val="18"/>
                <w:szCs w:val="18"/>
              </w:rPr>
            </w:pPr>
            <w:r w:rsidRPr="00A5540E">
              <w:rPr>
                <w:rFonts w:ascii="宋体" w:cs="Arial" w:hint="eastAsia"/>
                <w:b/>
                <w:bCs/>
                <w:sz w:val="18"/>
                <w:szCs w:val="18"/>
              </w:rPr>
              <w:t>总分</w:t>
            </w:r>
          </w:p>
          <w:p w:rsidR="00FC4AD8" w:rsidRPr="00A5540E" w:rsidRDefault="00FC4AD8" w:rsidP="00E16658">
            <w:pPr>
              <w:jc w:val="center"/>
              <w:rPr>
                <w:rFonts w:ascii="宋体" w:cs="Arial"/>
                <w:b/>
                <w:bCs/>
                <w:sz w:val="18"/>
                <w:szCs w:val="18"/>
              </w:rPr>
            </w:pPr>
            <w:r w:rsidRPr="00A5540E">
              <w:rPr>
                <w:rFonts w:ascii="宋体" w:cs="Arial" w:hint="eastAsia"/>
                <w:b/>
                <w:bCs/>
                <w:sz w:val="18"/>
                <w:szCs w:val="18"/>
              </w:rPr>
              <w:t>（</w:t>
            </w:r>
            <w:r w:rsidRPr="00A5540E">
              <w:rPr>
                <w:rFonts w:ascii="宋体" w:cs="Arial" w:hint="eastAsia"/>
                <w:b/>
                <w:bCs/>
                <w:sz w:val="18"/>
                <w:szCs w:val="18"/>
              </w:rPr>
              <w:t>16</w:t>
            </w:r>
            <w:r w:rsidRPr="00A5540E">
              <w:rPr>
                <w:rFonts w:ascii="宋体" w:cs="Arial" w:hint="eastAsia"/>
                <w:b/>
                <w:bCs/>
                <w:sz w:val="18"/>
                <w:szCs w:val="18"/>
              </w:rPr>
              <w:t>项指标得分）</w:t>
            </w:r>
          </w:p>
        </w:tc>
      </w:tr>
      <w:tr w:rsidR="00FC4AD8" w:rsidRPr="00A5540E" w:rsidTr="00E16658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8" w:rsidRPr="00A5540E" w:rsidRDefault="00FC4AD8" w:rsidP="00E16658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A5540E">
              <w:rPr>
                <w:rFonts w:ascii="宋体" w:cs="Arial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A5540E" w:rsidRDefault="00FC4AD8" w:rsidP="00E16658">
            <w:pPr>
              <w:jc w:val="center"/>
              <w:rPr>
                <w:rFonts w:ascii="宋体" w:cs="Arial"/>
                <w:sz w:val="18"/>
                <w:szCs w:val="18"/>
              </w:rPr>
            </w:pPr>
            <w:r w:rsidRPr="00A5540E">
              <w:rPr>
                <w:rFonts w:ascii="宋体" w:cs="Arial" w:hint="eastAsia"/>
                <w:sz w:val="18"/>
                <w:szCs w:val="18"/>
              </w:rPr>
              <w:t>南关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3.53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1.59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99.03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30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30"/>
                <w:sz w:val="18"/>
                <w:szCs w:val="18"/>
              </w:rPr>
              <w:t>39.48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14.2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0.66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0.71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0.36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8.16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16.85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22.75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1.82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89.21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91.35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48.36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76.52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672.21</w:t>
            </w:r>
          </w:p>
        </w:tc>
      </w:tr>
      <w:tr w:rsidR="00FC4AD8" w:rsidRPr="00A5540E" w:rsidTr="00E16658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8" w:rsidRPr="00A5540E" w:rsidRDefault="00FC4AD8" w:rsidP="00E16658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A5540E">
              <w:rPr>
                <w:rFonts w:ascii="宋体" w:cs="Arial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A5540E" w:rsidRDefault="00FC4AD8" w:rsidP="00E16658">
            <w:pPr>
              <w:jc w:val="center"/>
              <w:rPr>
                <w:rFonts w:ascii="宋体" w:cs="Arial"/>
                <w:sz w:val="18"/>
                <w:szCs w:val="18"/>
              </w:rPr>
            </w:pPr>
            <w:r w:rsidRPr="00A5540E">
              <w:rPr>
                <w:rFonts w:ascii="宋体" w:cs="Arial" w:hint="eastAsia"/>
                <w:sz w:val="18"/>
                <w:szCs w:val="18"/>
              </w:rPr>
              <w:t>宽城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2.42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99.02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30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30"/>
                <w:sz w:val="18"/>
                <w:szCs w:val="18"/>
              </w:rPr>
              <w:t>50.71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28.96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0.54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0.78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0.5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51.5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4.17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17.21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2.14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86.32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97.01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43.16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99.92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797.22</w:t>
            </w:r>
          </w:p>
        </w:tc>
      </w:tr>
      <w:tr w:rsidR="00FC4AD8" w:rsidRPr="00A5540E" w:rsidTr="00E16658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8" w:rsidRPr="00A5540E" w:rsidRDefault="00FC4AD8" w:rsidP="00E16658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A5540E">
              <w:rPr>
                <w:rFonts w:ascii="宋体" w:cs="Arial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A5540E" w:rsidRDefault="00FC4AD8" w:rsidP="00E16658">
            <w:pPr>
              <w:jc w:val="center"/>
              <w:rPr>
                <w:rFonts w:ascii="宋体" w:cs="Arial"/>
                <w:sz w:val="18"/>
                <w:szCs w:val="18"/>
              </w:rPr>
            </w:pPr>
            <w:r w:rsidRPr="00A5540E">
              <w:rPr>
                <w:rFonts w:ascii="宋体" w:cs="Arial" w:hint="eastAsia"/>
                <w:sz w:val="18"/>
                <w:szCs w:val="18"/>
              </w:rPr>
              <w:t>朝阳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2.48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98.32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30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30"/>
                <w:sz w:val="18"/>
                <w:szCs w:val="18"/>
              </w:rPr>
              <w:t>60.73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22.97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0.56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0.74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0.65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62.42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4.73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20.69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0.79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85.15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88.29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30.9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87.37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781.74</w:t>
            </w:r>
          </w:p>
        </w:tc>
      </w:tr>
      <w:tr w:rsidR="00FC4AD8" w:rsidRPr="00A5540E" w:rsidTr="00E16658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8" w:rsidRPr="00A5540E" w:rsidRDefault="00FC4AD8" w:rsidP="00E16658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A5540E">
              <w:rPr>
                <w:rFonts w:ascii="宋体" w:cs="Arial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A5540E" w:rsidRDefault="00FC4AD8" w:rsidP="00E16658">
            <w:pPr>
              <w:jc w:val="center"/>
              <w:rPr>
                <w:rFonts w:ascii="宋体" w:cs="Arial"/>
                <w:sz w:val="18"/>
                <w:szCs w:val="18"/>
              </w:rPr>
            </w:pPr>
            <w:r w:rsidRPr="00A5540E">
              <w:rPr>
                <w:rFonts w:ascii="宋体" w:cs="Arial" w:hint="eastAsia"/>
                <w:sz w:val="18"/>
                <w:szCs w:val="18"/>
              </w:rPr>
              <w:t>二道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2.64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99.03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30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30"/>
                <w:sz w:val="18"/>
                <w:szCs w:val="18"/>
              </w:rPr>
              <w:t>24.66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27.46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0.46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0.77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0.31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7.8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3.01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21.71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88.67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72.41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71.57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52.39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687.41</w:t>
            </w:r>
          </w:p>
        </w:tc>
      </w:tr>
      <w:tr w:rsidR="00FC4AD8" w:rsidRPr="00A5540E" w:rsidTr="00E16658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8" w:rsidRPr="00A5540E" w:rsidRDefault="00FC4AD8" w:rsidP="00E16658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A5540E">
              <w:rPr>
                <w:rFonts w:ascii="宋体" w:cs="Arial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A5540E" w:rsidRDefault="00FC4AD8" w:rsidP="00E16658">
            <w:pPr>
              <w:jc w:val="center"/>
              <w:rPr>
                <w:rFonts w:ascii="宋体" w:cs="Arial"/>
                <w:sz w:val="18"/>
                <w:szCs w:val="18"/>
              </w:rPr>
            </w:pPr>
            <w:r w:rsidRPr="00A5540E">
              <w:rPr>
                <w:rFonts w:ascii="宋体" w:cs="Arial" w:hint="eastAsia"/>
                <w:sz w:val="18"/>
                <w:szCs w:val="18"/>
              </w:rPr>
              <w:t>绿园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1.6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93.1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30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30"/>
                <w:sz w:val="18"/>
                <w:szCs w:val="18"/>
              </w:rPr>
              <w:t>84.73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22.2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0.57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0.72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0.22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23.74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9.47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29.28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87.37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88.87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44.33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55.02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753.99</w:t>
            </w:r>
          </w:p>
        </w:tc>
      </w:tr>
      <w:tr w:rsidR="00FC4AD8" w:rsidRPr="00A5540E" w:rsidTr="00E16658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8" w:rsidRPr="00A5540E" w:rsidRDefault="00FC4AD8" w:rsidP="00E16658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A5540E">
              <w:rPr>
                <w:rFonts w:ascii="宋体" w:cs="Arial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A5540E" w:rsidRDefault="00FC4AD8" w:rsidP="00E16658">
            <w:pPr>
              <w:jc w:val="center"/>
              <w:rPr>
                <w:rFonts w:ascii="宋体" w:cs="Arial"/>
                <w:sz w:val="18"/>
                <w:szCs w:val="18"/>
              </w:rPr>
            </w:pPr>
            <w:r w:rsidRPr="00A5540E">
              <w:rPr>
                <w:rFonts w:ascii="宋体" w:cs="Arial" w:hint="eastAsia"/>
                <w:sz w:val="18"/>
                <w:szCs w:val="18"/>
              </w:rPr>
              <w:t>九台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2.02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97.23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30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30"/>
                <w:sz w:val="18"/>
                <w:szCs w:val="18"/>
              </w:rPr>
              <w:t>69.56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17.4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0.62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0.74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0.49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9.92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19.7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0.73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90.34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82.08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86.34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87.38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787.24</w:t>
            </w:r>
          </w:p>
        </w:tc>
      </w:tr>
      <w:tr w:rsidR="00FC4AD8" w:rsidRPr="00A5540E" w:rsidTr="00E16658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8" w:rsidRPr="00A5540E" w:rsidRDefault="00FC4AD8" w:rsidP="00E16658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A5540E">
              <w:rPr>
                <w:rFonts w:ascii="宋体" w:cs="Arial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A5540E" w:rsidRDefault="00FC4AD8" w:rsidP="00E16658">
            <w:pPr>
              <w:jc w:val="center"/>
              <w:rPr>
                <w:rFonts w:ascii="宋体" w:cs="Arial"/>
                <w:sz w:val="18"/>
                <w:szCs w:val="18"/>
              </w:rPr>
            </w:pPr>
            <w:r w:rsidRPr="00A5540E">
              <w:rPr>
                <w:rFonts w:ascii="宋体" w:cs="Arial" w:hint="eastAsia"/>
                <w:sz w:val="18"/>
                <w:szCs w:val="18"/>
              </w:rPr>
              <w:t>榆树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1.06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99.15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30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30"/>
                <w:sz w:val="18"/>
                <w:szCs w:val="18"/>
              </w:rPr>
              <w:t>26.92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12.03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0.62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0.76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0.21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26.6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5.28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17.18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93.35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80.63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69.58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35.93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697.11</w:t>
            </w:r>
          </w:p>
        </w:tc>
      </w:tr>
      <w:tr w:rsidR="00FC4AD8" w:rsidRPr="00A5540E" w:rsidTr="00E16658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8" w:rsidRPr="00A5540E" w:rsidRDefault="00FC4AD8" w:rsidP="00E16658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A5540E">
              <w:rPr>
                <w:rFonts w:ascii="宋体" w:cs="Arial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A5540E" w:rsidRDefault="00FC4AD8" w:rsidP="00E16658">
            <w:pPr>
              <w:jc w:val="center"/>
              <w:rPr>
                <w:rFonts w:ascii="宋体" w:cs="Arial"/>
                <w:sz w:val="18"/>
                <w:szCs w:val="18"/>
              </w:rPr>
            </w:pPr>
            <w:r w:rsidRPr="00A5540E">
              <w:rPr>
                <w:rFonts w:ascii="宋体" w:cs="Arial" w:hint="eastAsia"/>
                <w:sz w:val="18"/>
                <w:szCs w:val="18"/>
              </w:rPr>
              <w:t>农安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1.73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98.63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30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30"/>
                <w:sz w:val="18"/>
                <w:szCs w:val="18"/>
              </w:rPr>
              <w:t>7.9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17.36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0.63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0.78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0.38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13.9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1.48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31.65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93.39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97.47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60.39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87.25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737.78</w:t>
            </w:r>
          </w:p>
        </w:tc>
      </w:tr>
      <w:tr w:rsidR="00FC4AD8" w:rsidRPr="00A5540E" w:rsidTr="00E16658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8" w:rsidRPr="00A5540E" w:rsidRDefault="00FC4AD8" w:rsidP="00E16658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A5540E">
              <w:rPr>
                <w:rFonts w:ascii="宋体" w:cs="Arial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A5540E" w:rsidRDefault="00FC4AD8" w:rsidP="00E16658">
            <w:pPr>
              <w:jc w:val="center"/>
              <w:rPr>
                <w:rFonts w:ascii="宋体" w:cs="Arial"/>
                <w:sz w:val="18"/>
                <w:szCs w:val="18"/>
              </w:rPr>
            </w:pPr>
            <w:r w:rsidRPr="00A5540E">
              <w:rPr>
                <w:rFonts w:ascii="宋体" w:cs="Arial" w:hint="eastAsia"/>
                <w:sz w:val="18"/>
                <w:szCs w:val="18"/>
              </w:rPr>
              <w:t>德惠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0.67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95.2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30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30"/>
                <w:sz w:val="18"/>
                <w:szCs w:val="18"/>
              </w:rPr>
              <w:t>18.68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24.77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0.27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0.75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0.16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17.07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27.04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34.11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94.41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92.52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76.6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62.6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729.74</w:t>
            </w:r>
          </w:p>
        </w:tc>
      </w:tr>
      <w:tr w:rsidR="00FC4AD8" w:rsidRPr="00A5540E" w:rsidTr="00E16658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8" w:rsidRPr="00A5540E" w:rsidRDefault="00FC4AD8" w:rsidP="00E16658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A5540E">
              <w:rPr>
                <w:rFonts w:ascii="宋体" w:cs="Arial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A5540E" w:rsidRDefault="00FC4AD8" w:rsidP="00E16658">
            <w:pPr>
              <w:jc w:val="center"/>
              <w:rPr>
                <w:rFonts w:ascii="宋体" w:cs="Arial"/>
                <w:sz w:val="18"/>
                <w:szCs w:val="18"/>
              </w:rPr>
            </w:pPr>
            <w:r w:rsidRPr="00A5540E">
              <w:rPr>
                <w:rFonts w:ascii="宋体" w:cs="Arial" w:hint="eastAsia"/>
                <w:sz w:val="18"/>
                <w:szCs w:val="18"/>
              </w:rPr>
              <w:t>双阳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1.54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99.48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30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30"/>
                <w:sz w:val="18"/>
                <w:szCs w:val="18"/>
              </w:rPr>
              <w:t>30.71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11.67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0.75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0.77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0.31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32.56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4.97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26.56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2.84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89.08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99.29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66.03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100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786.19</w:t>
            </w:r>
          </w:p>
        </w:tc>
      </w:tr>
      <w:tr w:rsidR="00FC4AD8" w:rsidRPr="00A5540E" w:rsidTr="00E16658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8" w:rsidRPr="00A5540E" w:rsidRDefault="00FC4AD8" w:rsidP="00E16658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A5540E">
              <w:rPr>
                <w:rFonts w:ascii="宋体" w:cs="Arial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A5540E" w:rsidRDefault="00FC4AD8" w:rsidP="00E16658">
            <w:pPr>
              <w:jc w:val="center"/>
              <w:rPr>
                <w:rFonts w:ascii="宋体" w:cs="Arial"/>
                <w:sz w:val="18"/>
                <w:szCs w:val="18"/>
              </w:rPr>
            </w:pPr>
            <w:r w:rsidRPr="00A5540E">
              <w:rPr>
                <w:rFonts w:ascii="宋体" w:cs="Arial" w:hint="eastAsia"/>
                <w:sz w:val="18"/>
                <w:szCs w:val="18"/>
              </w:rPr>
              <w:t>经开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3.33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87.98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30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30"/>
                <w:sz w:val="18"/>
                <w:szCs w:val="18"/>
              </w:rPr>
              <w:t>51.52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15.55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0.67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0.69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-0.16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33.78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2.6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17.47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3.82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81.61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99.18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60.81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87.94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743.84</w:t>
            </w:r>
          </w:p>
        </w:tc>
      </w:tr>
      <w:tr w:rsidR="00FC4AD8" w:rsidRPr="00A5540E" w:rsidTr="00E16658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8" w:rsidRPr="00A5540E" w:rsidRDefault="00FC4AD8" w:rsidP="00E16658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A5540E">
              <w:rPr>
                <w:rFonts w:ascii="宋体" w:cs="Arial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A5540E" w:rsidRDefault="00FC4AD8" w:rsidP="00E16658">
            <w:pPr>
              <w:jc w:val="center"/>
              <w:rPr>
                <w:rFonts w:ascii="宋体" w:cs="Arial"/>
                <w:sz w:val="18"/>
                <w:szCs w:val="18"/>
              </w:rPr>
            </w:pPr>
            <w:proofErr w:type="gramStart"/>
            <w:r w:rsidRPr="00A5540E">
              <w:rPr>
                <w:rFonts w:ascii="宋体" w:cs="Arial" w:hint="eastAsia"/>
                <w:sz w:val="18"/>
                <w:szCs w:val="18"/>
              </w:rPr>
              <w:t>汽开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1.54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93.88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30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30"/>
                <w:sz w:val="18"/>
                <w:szCs w:val="18"/>
              </w:rPr>
              <w:t>50.39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24.98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0.41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0.76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0.34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143.66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1.22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16.71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87.1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96.77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63.64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78.59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889.92</w:t>
            </w:r>
          </w:p>
        </w:tc>
      </w:tr>
      <w:tr w:rsidR="00FC4AD8" w:rsidRPr="00A5540E" w:rsidTr="00E16658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8" w:rsidRPr="00A5540E" w:rsidRDefault="00FC4AD8" w:rsidP="00E16658">
            <w:pPr>
              <w:widowControl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 w:rsidRPr="00A5540E">
              <w:rPr>
                <w:rFonts w:ascii="宋体" w:cs="Arial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A5540E" w:rsidRDefault="00FC4AD8" w:rsidP="00E16658">
            <w:pPr>
              <w:jc w:val="center"/>
              <w:rPr>
                <w:rFonts w:ascii="宋体" w:cs="Arial"/>
                <w:sz w:val="18"/>
                <w:szCs w:val="18"/>
              </w:rPr>
            </w:pPr>
            <w:r w:rsidRPr="00A5540E">
              <w:rPr>
                <w:rFonts w:ascii="宋体" w:cs="Arial" w:hint="eastAsia"/>
                <w:sz w:val="18"/>
                <w:szCs w:val="18"/>
              </w:rPr>
              <w:t>高新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2.74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89.95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30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30"/>
                <w:sz w:val="18"/>
                <w:szCs w:val="18"/>
              </w:rPr>
              <w:t>32.67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32.93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0.74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0.77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-0.16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8.7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10.67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1.02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93.07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72.08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74.49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56.63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691.99</w:t>
            </w:r>
          </w:p>
        </w:tc>
      </w:tr>
      <w:tr w:rsidR="00FC4AD8" w:rsidRPr="00A5540E" w:rsidTr="00E16658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8" w:rsidRPr="00A5540E" w:rsidRDefault="00FC4AD8" w:rsidP="00E16658">
            <w:pPr>
              <w:widowControl/>
              <w:jc w:val="center"/>
              <w:rPr>
                <w:rFonts w:ascii="宋体" w:cs="Arial" w:hint="eastAsia"/>
                <w:kern w:val="0"/>
                <w:sz w:val="18"/>
                <w:szCs w:val="18"/>
              </w:rPr>
            </w:pPr>
            <w:r w:rsidRPr="00A5540E">
              <w:rPr>
                <w:rFonts w:ascii="宋体" w:cs="Arial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A5540E" w:rsidRDefault="00FC4AD8" w:rsidP="00E16658">
            <w:pPr>
              <w:jc w:val="center"/>
              <w:rPr>
                <w:rFonts w:ascii="宋体" w:cs="Arial" w:hint="eastAsia"/>
                <w:sz w:val="18"/>
                <w:szCs w:val="18"/>
              </w:rPr>
            </w:pPr>
            <w:r w:rsidRPr="00A5540E">
              <w:rPr>
                <w:rFonts w:ascii="宋体" w:cs="Arial" w:hint="eastAsia"/>
                <w:sz w:val="18"/>
                <w:szCs w:val="18"/>
              </w:rPr>
              <w:t>净月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1.93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98.33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30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30"/>
                <w:sz w:val="18"/>
                <w:szCs w:val="18"/>
              </w:rPr>
              <w:t>27.27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29.39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0.64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0.74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0.48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78.24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14.39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92.35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65.38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73.47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32.91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746.75</w:t>
            </w:r>
          </w:p>
        </w:tc>
      </w:tr>
      <w:tr w:rsidR="00FC4AD8" w:rsidRPr="00A5540E" w:rsidTr="00E16658">
        <w:trPr>
          <w:trHeight w:val="45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4AD8" w:rsidRPr="00A5540E" w:rsidRDefault="00FC4AD8" w:rsidP="00E16658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A5540E">
              <w:rPr>
                <w:rFonts w:ascii="宋体" w:hint="eastAsia"/>
                <w:kern w:val="0"/>
                <w:sz w:val="18"/>
                <w:szCs w:val="18"/>
              </w:rPr>
              <w:t>合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4AD8" w:rsidRPr="00A5540E" w:rsidRDefault="00FC4AD8" w:rsidP="00E16658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A5540E">
              <w:rPr>
                <w:rFonts w:ascii="宋体" w:hint="eastAsia"/>
                <w:kern w:val="0"/>
                <w:sz w:val="18"/>
                <w:szCs w:val="18"/>
              </w:rPr>
              <w:t>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1.8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96.9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30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30"/>
                <w:sz w:val="18"/>
                <w:szCs w:val="18"/>
              </w:rPr>
              <w:t>34.24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20.65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0.64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0.75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0.32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27.57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7.06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23.38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0.76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90.3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89.78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62.66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72.48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AD8" w:rsidRPr="00012CCD" w:rsidRDefault="00FC4AD8" w:rsidP="00E16658">
            <w:pPr>
              <w:jc w:val="center"/>
              <w:rPr>
                <w:rFonts w:ascii="Courier New" w:eastAsia="宋体" w:hAnsi="Courier New" w:cs="Courier New"/>
                <w:spacing w:val="-26"/>
                <w:sz w:val="18"/>
                <w:szCs w:val="18"/>
              </w:rPr>
            </w:pPr>
            <w:r w:rsidRPr="00012CCD">
              <w:rPr>
                <w:rFonts w:ascii="Courier New" w:hAnsi="Courier New" w:cs="Courier New"/>
                <w:spacing w:val="-26"/>
                <w:sz w:val="18"/>
                <w:szCs w:val="18"/>
              </w:rPr>
              <w:t>--</w:t>
            </w:r>
          </w:p>
        </w:tc>
      </w:tr>
      <w:tr w:rsidR="00FC4AD8" w:rsidRPr="00A5540E" w:rsidTr="00E16658">
        <w:trPr>
          <w:trHeight w:val="450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4AD8" w:rsidRPr="00A5540E" w:rsidRDefault="00FC4AD8" w:rsidP="00E16658">
            <w:pPr>
              <w:widowControl/>
              <w:jc w:val="center"/>
              <w:rPr>
                <w:rFonts w:ascii="宋体"/>
                <w:spacing w:val="-20"/>
                <w:kern w:val="0"/>
                <w:sz w:val="18"/>
                <w:szCs w:val="18"/>
              </w:rPr>
            </w:pPr>
            <w:r w:rsidRPr="00A5540E">
              <w:rPr>
                <w:rFonts w:ascii="宋体"/>
                <w:spacing w:val="-20"/>
                <w:kern w:val="0"/>
                <w:sz w:val="18"/>
                <w:szCs w:val="18"/>
              </w:rPr>
              <w:t>三年平均值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8" w:rsidRPr="00A5540E" w:rsidRDefault="00FC4AD8" w:rsidP="00E16658">
            <w:pPr>
              <w:widowControl/>
              <w:jc w:val="center"/>
              <w:rPr>
                <w:rFonts w:ascii="宋体"/>
                <w:b/>
                <w:kern w:val="0"/>
                <w:sz w:val="18"/>
                <w:szCs w:val="18"/>
              </w:rPr>
            </w:pPr>
            <w:r w:rsidRPr="00A5540E">
              <w:rPr>
                <w:rFonts w:ascii="宋体" w:hint="eastAsia"/>
                <w:b/>
                <w:kern w:val="0"/>
                <w:sz w:val="18"/>
                <w:szCs w:val="18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8" w:rsidRPr="00A5540E" w:rsidRDefault="00FC4AD8" w:rsidP="00E16658">
            <w:pPr>
              <w:widowControl/>
              <w:jc w:val="center"/>
              <w:rPr>
                <w:rFonts w:ascii="宋体"/>
                <w:b/>
                <w:kern w:val="0"/>
                <w:sz w:val="18"/>
                <w:szCs w:val="18"/>
              </w:rPr>
            </w:pPr>
            <w:r w:rsidRPr="00A5540E">
              <w:rPr>
                <w:rFonts w:ascii="宋体" w:hint="eastAsia"/>
                <w:b/>
                <w:kern w:val="0"/>
                <w:sz w:val="18"/>
                <w:szCs w:val="18"/>
              </w:rPr>
              <w:t>1.04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8" w:rsidRPr="00A5540E" w:rsidRDefault="00FC4AD8" w:rsidP="00E16658">
            <w:pPr>
              <w:widowControl/>
              <w:jc w:val="center"/>
              <w:rPr>
                <w:rFonts w:ascii="宋体" w:hint="eastAsia"/>
                <w:b/>
                <w:spacing w:val="-20"/>
                <w:kern w:val="0"/>
                <w:sz w:val="18"/>
                <w:szCs w:val="18"/>
              </w:rPr>
            </w:pPr>
            <w:r w:rsidRPr="00A5540E">
              <w:rPr>
                <w:rFonts w:ascii="宋体" w:hint="eastAsia"/>
                <w:b/>
                <w:spacing w:val="-20"/>
                <w:kern w:val="0"/>
                <w:sz w:val="18"/>
                <w:szCs w:val="18"/>
              </w:rPr>
              <w:t>94.06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8" w:rsidRPr="00012CCD" w:rsidRDefault="00FC4AD8" w:rsidP="00E16658">
            <w:pPr>
              <w:widowControl/>
              <w:jc w:val="center"/>
              <w:rPr>
                <w:rFonts w:ascii="宋体" w:hint="eastAsia"/>
                <w:b/>
                <w:spacing w:val="-30"/>
                <w:kern w:val="0"/>
                <w:sz w:val="18"/>
                <w:szCs w:val="18"/>
              </w:rPr>
            </w:pPr>
            <w:r w:rsidRPr="00012CCD">
              <w:rPr>
                <w:rFonts w:ascii="宋体" w:hint="eastAsia"/>
                <w:b/>
                <w:spacing w:val="-30"/>
                <w:kern w:val="0"/>
                <w:sz w:val="18"/>
                <w:szCs w:val="18"/>
              </w:rPr>
              <w:t>87.77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8" w:rsidRPr="00A5540E" w:rsidRDefault="00FC4AD8" w:rsidP="00E16658">
            <w:pPr>
              <w:widowControl/>
              <w:jc w:val="center"/>
              <w:rPr>
                <w:rFonts w:ascii="宋体" w:hint="eastAsia"/>
                <w:b/>
                <w:kern w:val="0"/>
                <w:sz w:val="18"/>
                <w:szCs w:val="18"/>
              </w:rPr>
            </w:pPr>
            <w:r w:rsidRPr="00A5540E">
              <w:rPr>
                <w:rFonts w:ascii="宋体" w:hint="eastAsia"/>
                <w:b/>
                <w:kern w:val="0"/>
                <w:sz w:val="18"/>
                <w:szCs w:val="18"/>
              </w:rPr>
              <w:t>21.46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8" w:rsidRPr="00A5540E" w:rsidRDefault="00FC4AD8" w:rsidP="00E16658">
            <w:pPr>
              <w:widowControl/>
              <w:jc w:val="center"/>
              <w:rPr>
                <w:rFonts w:ascii="宋体" w:hint="eastAsia"/>
                <w:b/>
                <w:kern w:val="0"/>
                <w:sz w:val="18"/>
                <w:szCs w:val="18"/>
              </w:rPr>
            </w:pPr>
            <w:r w:rsidRPr="00A5540E">
              <w:rPr>
                <w:rFonts w:ascii="宋体" w:hint="eastAsia"/>
                <w:b/>
                <w:kern w:val="0"/>
                <w:sz w:val="18"/>
                <w:szCs w:val="18"/>
              </w:rPr>
              <w:t>0.49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8" w:rsidRPr="00A5540E" w:rsidRDefault="00FC4AD8" w:rsidP="00E16658">
            <w:pPr>
              <w:widowControl/>
              <w:jc w:val="center"/>
              <w:rPr>
                <w:rFonts w:ascii="宋体" w:hint="eastAsia"/>
                <w:b/>
                <w:kern w:val="0"/>
                <w:sz w:val="18"/>
                <w:szCs w:val="18"/>
              </w:rPr>
            </w:pPr>
            <w:r w:rsidRPr="00A5540E">
              <w:rPr>
                <w:rFonts w:ascii="宋体" w:hint="eastAsia"/>
                <w:b/>
                <w:kern w:val="0"/>
                <w:sz w:val="18"/>
                <w:szCs w:val="18"/>
              </w:rPr>
              <w:t>0.76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8" w:rsidRPr="00A5540E" w:rsidRDefault="00FC4AD8" w:rsidP="00E16658">
            <w:pPr>
              <w:widowControl/>
              <w:jc w:val="center"/>
              <w:rPr>
                <w:rFonts w:ascii="宋体" w:hint="eastAsia"/>
                <w:b/>
                <w:kern w:val="0"/>
                <w:sz w:val="18"/>
                <w:szCs w:val="18"/>
              </w:rPr>
            </w:pPr>
            <w:r w:rsidRPr="00A5540E">
              <w:rPr>
                <w:rFonts w:ascii="宋体" w:hint="eastAsia"/>
                <w:b/>
                <w:kern w:val="0"/>
                <w:sz w:val="18"/>
                <w:szCs w:val="18"/>
              </w:rPr>
              <w:t>0.59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8" w:rsidRPr="00A5540E" w:rsidRDefault="00FC4AD8" w:rsidP="00E16658">
            <w:pPr>
              <w:widowControl/>
              <w:jc w:val="center"/>
              <w:rPr>
                <w:rFonts w:ascii="宋体" w:hint="eastAsia"/>
                <w:b/>
                <w:kern w:val="0"/>
                <w:sz w:val="18"/>
                <w:szCs w:val="18"/>
              </w:rPr>
            </w:pPr>
            <w:r w:rsidRPr="00A5540E">
              <w:rPr>
                <w:rFonts w:ascii="宋体" w:hint="eastAsia"/>
                <w:b/>
                <w:kern w:val="0"/>
                <w:sz w:val="18"/>
                <w:szCs w:val="18"/>
              </w:rPr>
              <w:t>84.24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8" w:rsidRPr="00A5540E" w:rsidRDefault="00FC4AD8" w:rsidP="00E16658">
            <w:pPr>
              <w:widowControl/>
              <w:jc w:val="center"/>
              <w:rPr>
                <w:rFonts w:ascii="宋体" w:hint="eastAsia"/>
                <w:b/>
                <w:kern w:val="0"/>
                <w:sz w:val="18"/>
                <w:szCs w:val="18"/>
              </w:rPr>
            </w:pPr>
            <w:r w:rsidRPr="00A5540E">
              <w:rPr>
                <w:rFonts w:ascii="宋体" w:hint="eastAsia"/>
                <w:b/>
                <w:kern w:val="0"/>
                <w:sz w:val="18"/>
                <w:szCs w:val="18"/>
              </w:rPr>
              <w:t>4.18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8" w:rsidRPr="00A5540E" w:rsidRDefault="00FC4AD8" w:rsidP="00E16658">
            <w:pPr>
              <w:widowControl/>
              <w:jc w:val="center"/>
              <w:rPr>
                <w:rFonts w:ascii="宋体" w:hint="eastAsia"/>
                <w:b/>
                <w:kern w:val="0"/>
                <w:sz w:val="18"/>
                <w:szCs w:val="18"/>
              </w:rPr>
            </w:pPr>
            <w:r w:rsidRPr="00A5540E">
              <w:rPr>
                <w:rFonts w:ascii="宋体" w:hint="eastAsia"/>
                <w:b/>
                <w:kern w:val="0"/>
                <w:sz w:val="18"/>
                <w:szCs w:val="18"/>
              </w:rPr>
              <w:t>28.12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8" w:rsidRPr="00A5540E" w:rsidRDefault="00FC4AD8" w:rsidP="00E16658">
            <w:pPr>
              <w:widowControl/>
              <w:jc w:val="center"/>
              <w:rPr>
                <w:rFonts w:ascii="宋体" w:hint="eastAsia"/>
                <w:b/>
                <w:kern w:val="0"/>
                <w:sz w:val="18"/>
                <w:szCs w:val="18"/>
              </w:rPr>
            </w:pPr>
            <w:r w:rsidRPr="00A5540E">
              <w:rPr>
                <w:rFonts w:ascii="宋体" w:hint="eastAsia"/>
                <w:b/>
                <w:kern w:val="0"/>
                <w:sz w:val="18"/>
                <w:szCs w:val="18"/>
              </w:rPr>
              <w:t>1.00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8" w:rsidRPr="00A5540E" w:rsidRDefault="00FC4AD8" w:rsidP="00E16658">
            <w:pPr>
              <w:widowControl/>
              <w:jc w:val="center"/>
              <w:rPr>
                <w:rFonts w:ascii="宋体" w:hint="eastAsia"/>
                <w:b/>
                <w:kern w:val="0"/>
                <w:sz w:val="18"/>
                <w:szCs w:val="18"/>
              </w:rPr>
            </w:pPr>
            <w:r w:rsidRPr="00A5540E">
              <w:rPr>
                <w:rFonts w:ascii="宋体" w:hint="eastAsia"/>
                <w:b/>
                <w:kern w:val="0"/>
                <w:sz w:val="18"/>
                <w:szCs w:val="18"/>
              </w:rPr>
              <w:t>92.07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8" w:rsidRPr="00A5540E" w:rsidRDefault="00FC4AD8" w:rsidP="00E16658">
            <w:pPr>
              <w:widowControl/>
              <w:jc w:val="center"/>
              <w:rPr>
                <w:rFonts w:ascii="宋体" w:hint="eastAsia"/>
                <w:b/>
                <w:kern w:val="0"/>
                <w:sz w:val="18"/>
                <w:szCs w:val="18"/>
              </w:rPr>
            </w:pPr>
            <w:r w:rsidRPr="00A5540E">
              <w:rPr>
                <w:rFonts w:ascii="宋体" w:hint="eastAsia"/>
                <w:b/>
                <w:kern w:val="0"/>
                <w:sz w:val="18"/>
                <w:szCs w:val="18"/>
              </w:rPr>
              <w:t>81.24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8" w:rsidRPr="00A5540E" w:rsidRDefault="00FC4AD8" w:rsidP="00E16658">
            <w:pPr>
              <w:widowControl/>
              <w:jc w:val="center"/>
              <w:rPr>
                <w:rFonts w:ascii="宋体" w:hint="eastAsia"/>
                <w:b/>
                <w:kern w:val="0"/>
                <w:sz w:val="18"/>
                <w:szCs w:val="18"/>
              </w:rPr>
            </w:pPr>
            <w:r w:rsidRPr="00A5540E">
              <w:rPr>
                <w:rFonts w:ascii="宋体" w:hint="eastAsia"/>
                <w:b/>
                <w:kern w:val="0"/>
                <w:sz w:val="18"/>
                <w:szCs w:val="18"/>
              </w:rPr>
              <w:t>70.14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8" w:rsidRPr="00A5540E" w:rsidRDefault="00FC4AD8" w:rsidP="00E16658">
            <w:pPr>
              <w:widowControl/>
              <w:jc w:val="center"/>
              <w:rPr>
                <w:rFonts w:ascii="宋体" w:hint="eastAsia"/>
                <w:b/>
                <w:kern w:val="0"/>
                <w:sz w:val="18"/>
                <w:szCs w:val="18"/>
              </w:rPr>
            </w:pPr>
            <w:r w:rsidRPr="00A5540E">
              <w:rPr>
                <w:rFonts w:ascii="宋体" w:hint="eastAsia"/>
                <w:b/>
                <w:kern w:val="0"/>
                <w:sz w:val="18"/>
                <w:szCs w:val="18"/>
              </w:rPr>
              <w:t>70.66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AD8" w:rsidRPr="00A5540E" w:rsidRDefault="00FC4AD8" w:rsidP="00E16658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</w:tbl>
    <w:p w:rsidR="00D945E5" w:rsidRDefault="00D945E5" w:rsidP="00FC4AD8"/>
    <w:sectPr w:rsidR="00D945E5" w:rsidSect="00FC4AD8">
      <w:pgSz w:w="16838" w:h="11906" w:orient="landscape"/>
      <w:pgMar w:top="567" w:right="1800" w:bottom="709" w:left="180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宋体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4AD8"/>
    <w:rsid w:val="0000256D"/>
    <w:rsid w:val="000435C0"/>
    <w:rsid w:val="0005635C"/>
    <w:rsid w:val="000674A2"/>
    <w:rsid w:val="00070471"/>
    <w:rsid w:val="000852A4"/>
    <w:rsid w:val="000D59F8"/>
    <w:rsid w:val="001120B1"/>
    <w:rsid w:val="00127D55"/>
    <w:rsid w:val="00141CD5"/>
    <w:rsid w:val="00147DE8"/>
    <w:rsid w:val="00153141"/>
    <w:rsid w:val="0016442A"/>
    <w:rsid w:val="00186454"/>
    <w:rsid w:val="001A2246"/>
    <w:rsid w:val="001A304C"/>
    <w:rsid w:val="001D2558"/>
    <w:rsid w:val="001D596E"/>
    <w:rsid w:val="001E3D37"/>
    <w:rsid w:val="002D634C"/>
    <w:rsid w:val="002E10BF"/>
    <w:rsid w:val="002E380B"/>
    <w:rsid w:val="002E3D14"/>
    <w:rsid w:val="002E45AA"/>
    <w:rsid w:val="00313C6D"/>
    <w:rsid w:val="00342C88"/>
    <w:rsid w:val="0034305F"/>
    <w:rsid w:val="0035643C"/>
    <w:rsid w:val="00357E02"/>
    <w:rsid w:val="00366A8B"/>
    <w:rsid w:val="003715AD"/>
    <w:rsid w:val="003750BF"/>
    <w:rsid w:val="00383A49"/>
    <w:rsid w:val="00395E44"/>
    <w:rsid w:val="00397970"/>
    <w:rsid w:val="003A1B20"/>
    <w:rsid w:val="003A41A9"/>
    <w:rsid w:val="003B4833"/>
    <w:rsid w:val="003D05FD"/>
    <w:rsid w:val="00402A4F"/>
    <w:rsid w:val="00403DE1"/>
    <w:rsid w:val="0041650A"/>
    <w:rsid w:val="00422516"/>
    <w:rsid w:val="0044348F"/>
    <w:rsid w:val="00450DCF"/>
    <w:rsid w:val="004528E7"/>
    <w:rsid w:val="00453E42"/>
    <w:rsid w:val="004715EF"/>
    <w:rsid w:val="0047536D"/>
    <w:rsid w:val="004C10A5"/>
    <w:rsid w:val="004F2E17"/>
    <w:rsid w:val="00500687"/>
    <w:rsid w:val="00514B29"/>
    <w:rsid w:val="00576722"/>
    <w:rsid w:val="00595DD4"/>
    <w:rsid w:val="005A0DC3"/>
    <w:rsid w:val="005A780F"/>
    <w:rsid w:val="005B762C"/>
    <w:rsid w:val="005C16BD"/>
    <w:rsid w:val="0063420D"/>
    <w:rsid w:val="00643ABB"/>
    <w:rsid w:val="006468D4"/>
    <w:rsid w:val="00660337"/>
    <w:rsid w:val="00660F3D"/>
    <w:rsid w:val="006945A0"/>
    <w:rsid w:val="006A4390"/>
    <w:rsid w:val="006B7D08"/>
    <w:rsid w:val="006F1750"/>
    <w:rsid w:val="006F4027"/>
    <w:rsid w:val="00706D6C"/>
    <w:rsid w:val="00706FA8"/>
    <w:rsid w:val="00722B45"/>
    <w:rsid w:val="007302DD"/>
    <w:rsid w:val="00731457"/>
    <w:rsid w:val="00736E6E"/>
    <w:rsid w:val="00743020"/>
    <w:rsid w:val="00747286"/>
    <w:rsid w:val="007574D7"/>
    <w:rsid w:val="00763249"/>
    <w:rsid w:val="00776D6A"/>
    <w:rsid w:val="007A17A6"/>
    <w:rsid w:val="007E7880"/>
    <w:rsid w:val="007F1361"/>
    <w:rsid w:val="008364D6"/>
    <w:rsid w:val="008539D5"/>
    <w:rsid w:val="008573C0"/>
    <w:rsid w:val="00865D19"/>
    <w:rsid w:val="0087154D"/>
    <w:rsid w:val="008B2005"/>
    <w:rsid w:val="0090407C"/>
    <w:rsid w:val="009147DC"/>
    <w:rsid w:val="00926BBB"/>
    <w:rsid w:val="00936D56"/>
    <w:rsid w:val="0095081E"/>
    <w:rsid w:val="00950CDC"/>
    <w:rsid w:val="009B550A"/>
    <w:rsid w:val="009F72BE"/>
    <w:rsid w:val="00A12FCC"/>
    <w:rsid w:val="00A32BC1"/>
    <w:rsid w:val="00A378F8"/>
    <w:rsid w:val="00A44FDB"/>
    <w:rsid w:val="00A551EF"/>
    <w:rsid w:val="00A55AC3"/>
    <w:rsid w:val="00A83A0A"/>
    <w:rsid w:val="00A8426B"/>
    <w:rsid w:val="00AB3C33"/>
    <w:rsid w:val="00B058B0"/>
    <w:rsid w:val="00B22EAC"/>
    <w:rsid w:val="00B251B1"/>
    <w:rsid w:val="00B31A83"/>
    <w:rsid w:val="00B403F9"/>
    <w:rsid w:val="00B4437C"/>
    <w:rsid w:val="00B54099"/>
    <w:rsid w:val="00B5549E"/>
    <w:rsid w:val="00B65F7F"/>
    <w:rsid w:val="00BA2243"/>
    <w:rsid w:val="00BA63FF"/>
    <w:rsid w:val="00C360A0"/>
    <w:rsid w:val="00C42541"/>
    <w:rsid w:val="00C7631C"/>
    <w:rsid w:val="00CA692A"/>
    <w:rsid w:val="00CC5FA2"/>
    <w:rsid w:val="00CC7E18"/>
    <w:rsid w:val="00D15CFD"/>
    <w:rsid w:val="00D61585"/>
    <w:rsid w:val="00D66F25"/>
    <w:rsid w:val="00D732F8"/>
    <w:rsid w:val="00D7628A"/>
    <w:rsid w:val="00D81025"/>
    <w:rsid w:val="00D820D4"/>
    <w:rsid w:val="00D945E5"/>
    <w:rsid w:val="00DB219E"/>
    <w:rsid w:val="00DB5780"/>
    <w:rsid w:val="00DC0216"/>
    <w:rsid w:val="00DD3A5D"/>
    <w:rsid w:val="00DE0705"/>
    <w:rsid w:val="00DF1E57"/>
    <w:rsid w:val="00E10412"/>
    <w:rsid w:val="00E24AB6"/>
    <w:rsid w:val="00E31EFD"/>
    <w:rsid w:val="00E4049E"/>
    <w:rsid w:val="00E44997"/>
    <w:rsid w:val="00E540F3"/>
    <w:rsid w:val="00E578BB"/>
    <w:rsid w:val="00E96246"/>
    <w:rsid w:val="00EA338C"/>
    <w:rsid w:val="00EA7AE1"/>
    <w:rsid w:val="00EB53A6"/>
    <w:rsid w:val="00F4710A"/>
    <w:rsid w:val="00F72537"/>
    <w:rsid w:val="00FC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D8"/>
    <w:pPr>
      <w:widowControl w:val="0"/>
      <w:jc w:val="both"/>
    </w:pPr>
    <w:rPr>
      <w:rFonts w:ascii="仿宋_GB2312" w:eastAsia="仿宋_GB2312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4A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C4AD8"/>
    <w:rPr>
      <w:rFonts w:ascii="仿宋_GB2312" w:eastAsia="仿宋_GB2312" w:hAnsi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 sz="1317" b="1" i="0" u="none" strike="noStrike" baseline="0">
                <a:solidFill>
                  <a:srgbClr val="000000"/>
                </a:solidFill>
                <a:latin typeface="仿宋"/>
                <a:ea typeface="仿宋"/>
                <a:cs typeface="仿宋"/>
              </a:defRPr>
            </a:pPr>
            <a:r>
              <a:rPr lang="zh-CN" altLang="en-US"/>
              <a:t>  辖区收结案情况对比图</a:t>
            </a:r>
          </a:p>
        </c:rich>
      </c:tx>
      <c:layout>
        <c:manualLayout>
          <c:xMode val="edge"/>
          <c:yMode val="edge"/>
          <c:x val="0.30153321976149916"/>
          <c:y val="3.1791907514450886E-2"/>
        </c:manualLayout>
      </c:layout>
      <c:spPr>
        <a:noFill/>
        <a:ln w="23896">
          <a:noFill/>
        </a:ln>
      </c:spPr>
    </c:title>
    <c:view3D>
      <c:hPercent val="5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21465076660988069"/>
          <c:y val="0.14450867052023128"/>
          <c:w val="0.78534923339011975"/>
          <c:h val="0.6647398843930638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2015年上半年 </c:v>
                </c:pt>
              </c:strCache>
            </c:strRef>
          </c:tx>
          <c:spPr>
            <a:solidFill>
              <a:srgbClr val="FF6600"/>
            </a:solidFill>
            <a:ln w="11948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  <c:pt idx="4">
                  <c:v> 总受案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10510</c:v>
                </c:pt>
                <c:pt idx="1">
                  <c:v>36907</c:v>
                </c:pt>
                <c:pt idx="2">
                  <c:v>22740</c:v>
                </c:pt>
                <c:pt idx="3">
                  <c:v>24677</c:v>
                </c:pt>
                <c:pt idx="4">
                  <c:v>47417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2014年上半年</c:v>
                </c:pt>
              </c:strCache>
            </c:strRef>
          </c:tx>
          <c:spPr>
            <a:solidFill>
              <a:srgbClr val="339966"/>
            </a:solidFill>
            <a:ln w="11948">
              <a:solidFill>
                <a:srgbClr val="FFFFFF"/>
              </a:solidFill>
              <a:prstDash val="solid"/>
            </a:ln>
          </c:spPr>
          <c:invertIfNegative val="1"/>
          <c:cat>
            <c:strRef>
              <c:f>Sheet1!$B$1:$F$1</c:f>
              <c:strCache>
                <c:ptCount val="5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  <c:pt idx="4">
                  <c:v> 总受案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4470</c:v>
                </c:pt>
                <c:pt idx="1">
                  <c:v>35394</c:v>
                </c:pt>
                <c:pt idx="2">
                  <c:v>22180</c:v>
                </c:pt>
                <c:pt idx="3">
                  <c:v>17683</c:v>
                </c:pt>
                <c:pt idx="4">
                  <c:v>39864</c:v>
                </c:pt>
              </c:numCache>
            </c:numRef>
          </c:val>
        </c:ser>
        <c:gapDepth val="0"/>
        <c:shape val="box"/>
        <c:axId val="357901824"/>
        <c:axId val="357903360"/>
        <c:axId val="0"/>
      </c:bar3DChart>
      <c:catAx>
        <c:axId val="357901824"/>
        <c:scaling>
          <c:orientation val="minMax"/>
        </c:scaling>
        <c:axPos val="b"/>
        <c:numFmt formatCode="General" sourceLinked="1"/>
        <c:majorTickMark val="in"/>
        <c:tickLblPos val="low"/>
        <c:spPr>
          <a:ln w="298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99" b="0" i="0" u="none" strike="noStrike" baseline="0">
                <a:solidFill>
                  <a:srgbClr val="000000"/>
                </a:solidFill>
                <a:latin typeface="楷体_GB2312"/>
                <a:ea typeface="楷体_GB2312"/>
                <a:cs typeface="楷体_GB2312"/>
              </a:defRPr>
            </a:pPr>
            <a:endParaRPr lang="zh-CN"/>
          </a:p>
        </c:txPr>
        <c:crossAx val="357903360"/>
        <c:crosses val="autoZero"/>
        <c:auto val="1"/>
        <c:lblAlgn val="ctr"/>
        <c:lblOffset val="100"/>
        <c:tickLblSkip val="2"/>
        <c:tickMarkSkip val="1"/>
      </c:catAx>
      <c:valAx>
        <c:axId val="357903360"/>
        <c:scaling>
          <c:orientation val="minMax"/>
        </c:scaling>
        <c:axPos val="l"/>
        <c:majorGridlines>
          <c:spPr>
            <a:ln w="298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in"/>
        <c:tickLblPos val="nextTo"/>
        <c:spPr>
          <a:ln w="298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35" b="0" i="0" u="none" strike="noStrike" baseline="0">
                <a:solidFill>
                  <a:srgbClr val="000000"/>
                </a:solidFill>
                <a:latin typeface="仿宋"/>
                <a:ea typeface="仿宋"/>
                <a:cs typeface="仿宋"/>
              </a:defRPr>
            </a:pPr>
            <a:endParaRPr lang="zh-CN"/>
          </a:p>
        </c:txPr>
        <c:crossAx val="357901824"/>
        <c:crosses val="autoZero"/>
        <c:crossBetween val="between"/>
        <c:majorUnit val="5000"/>
        <c:minorUnit val="94.834000000000003"/>
      </c:valAx>
      <c:dTable>
        <c:showHorzBorder val="1"/>
        <c:showVertBorder val="1"/>
        <c:showOutline val="1"/>
        <c:showKeys val="1"/>
        <c:spPr>
          <a:ln w="1194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035" b="0" i="0" u="none" strike="noStrike" baseline="0">
                <a:solidFill>
                  <a:srgbClr val="000000"/>
                </a:solidFill>
                <a:latin typeface="仿宋"/>
                <a:ea typeface="仿宋"/>
                <a:cs typeface="仿宋"/>
              </a:defRPr>
            </a:pPr>
            <a:endParaRPr lang="zh-CN"/>
          </a:p>
        </c:txPr>
      </c:dTable>
      <c:spPr>
        <a:noFill/>
        <a:ln w="23896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599" b="0" i="0" u="none" strike="noStrike" baseline="0">
          <a:solidFill>
            <a:srgbClr val="000000"/>
          </a:solidFill>
          <a:latin typeface="楷体_GB2312"/>
          <a:ea typeface="楷体_GB2312"/>
          <a:cs typeface="楷体_GB2312"/>
        </a:defRPr>
      </a:pPr>
      <a:endParaRPr lang="zh-CN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 sz="132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zh-CN" altLang="en-US"/>
              <a:t>辖区法院受理案件构成情况对比图</a:t>
            </a:r>
          </a:p>
        </c:rich>
      </c:tx>
      <c:layout>
        <c:manualLayout>
          <c:xMode val="edge"/>
          <c:yMode val="edge"/>
          <c:x val="0.24912280701754386"/>
          <c:y val="1.9748653500897665E-2"/>
        </c:manualLayout>
      </c:layout>
      <c:spPr>
        <a:noFill/>
        <a:ln w="16790">
          <a:noFill/>
        </a:ln>
      </c:spPr>
    </c:title>
    <c:plotArea>
      <c:layout>
        <c:manualLayout>
          <c:layoutTarget val="inner"/>
          <c:xMode val="edge"/>
          <c:yMode val="edge"/>
          <c:x val="0.37543859649122807"/>
          <c:y val="0.37163375224416517"/>
          <c:w val="0.25146198830409366"/>
          <c:h val="0.3859964093357273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8395">
              <a:solidFill>
                <a:srgbClr val="000000"/>
              </a:solidFill>
              <a:prstDash val="solid"/>
            </a:ln>
          </c:spPr>
          <c:dPt>
            <c:idx val="0"/>
            <c:spPr>
              <a:pattFill prst="pct90">
                <a:fgClr>
                  <a:srgbClr val="000000"/>
                </a:fgClr>
                <a:bgClr>
                  <a:srgbClr val="FFFFFF"/>
                </a:bgClr>
              </a:pattFill>
              <a:ln w="839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pattFill prst="pct5">
                <a:fgClr>
                  <a:srgbClr val="000000"/>
                </a:fgClr>
                <a:bgClr>
                  <a:srgbClr val="FFFFFF"/>
                </a:bgClr>
              </a:pattFill>
              <a:ln w="839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pattFill prst="pct75">
                <a:fgClr>
                  <a:srgbClr val="000000"/>
                </a:fgClr>
                <a:bgClr>
                  <a:srgbClr val="FFFFFF"/>
                </a:bgClr>
              </a:pattFill>
              <a:ln w="839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pattFill prst="pct20">
                <a:fgClr>
                  <a:srgbClr val="000000"/>
                </a:fgClr>
                <a:bgClr>
                  <a:srgbClr val="FFFFFF"/>
                </a:bgClr>
              </a:pattFill>
              <a:ln w="839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pattFill prst="pct60">
                <a:fgClr>
                  <a:srgbClr val="000000"/>
                </a:fgClr>
                <a:bgClr>
                  <a:srgbClr val="FFFFFF"/>
                </a:bgClr>
              </a:pattFill>
              <a:ln w="8395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pattFill prst="pct30">
                <a:fgClr>
                  <a:srgbClr val="000000"/>
                </a:fgClr>
                <a:bgClr>
                  <a:srgbClr val="FFFFFF"/>
                </a:bgClr>
              </a:pattFill>
              <a:ln w="839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4174652755581779"/>
                  <c:y val="9.494319366350587E-2"/>
                </c:manualLayout>
              </c:layout>
              <c:dLblPos val="bestFit"/>
              <c:showVal val="1"/>
              <c:showCatName val="1"/>
              <c:showPercent val="1"/>
            </c:dLbl>
            <c:dLbl>
              <c:idx val="1"/>
              <c:layout>
                <c:manualLayout>
                  <c:x val="4.9551260391893413E-2"/>
                  <c:y val="6.5014944397619553E-2"/>
                </c:manualLayout>
              </c:layout>
              <c:dLblPos val="bestFit"/>
              <c:showVal val="1"/>
              <c:showCatName val="1"/>
              <c:showPercent val="1"/>
            </c:dLbl>
            <c:dLbl>
              <c:idx val="2"/>
              <c:layout>
                <c:manualLayout>
                  <c:x val="-2.099685349570431E-2"/>
                  <c:y val="0.16059938335056775"/>
                </c:manualLayout>
              </c:layout>
              <c:dLblPos val="bestFit"/>
              <c:showVal val="1"/>
              <c:showCatName val="1"/>
              <c:showPercent val="1"/>
            </c:dLbl>
            <c:dLbl>
              <c:idx val="3"/>
              <c:layout>
                <c:manualLayout>
                  <c:x val="-0.17265843785321833"/>
                  <c:y val="-1.1357390027382144E-2"/>
                </c:manualLayout>
              </c:layout>
              <c:dLblPos val="bestFit"/>
              <c:showVal val="1"/>
              <c:showCatName val="1"/>
              <c:showPercent val="1"/>
            </c:dLbl>
            <c:dLbl>
              <c:idx val="4"/>
              <c:layout>
                <c:manualLayout>
                  <c:x val="-0.11744482262796618"/>
                  <c:y val="-2.1435592256329475E-2"/>
                </c:manualLayout>
              </c:layout>
              <c:dLblPos val="bestFit"/>
              <c:showVal val="1"/>
              <c:showCatName val="1"/>
              <c:showPercent val="1"/>
            </c:dLbl>
            <c:dLbl>
              <c:idx val="5"/>
              <c:layout>
                <c:manualLayout>
                  <c:x val="-7.3918716199575032E-3"/>
                  <c:y val="-7.4185937190299894E-2"/>
                </c:manualLayout>
              </c:layout>
              <c:dLblPos val="bestFit"/>
              <c:showVal val="1"/>
              <c:showCatName val="1"/>
              <c:showPercent val="1"/>
            </c:dLbl>
            <c:numFmt formatCode="0.000%" sourceLinked="0"/>
            <c:spPr>
              <a:noFill/>
              <a:ln w="16790">
                <a:noFill/>
              </a:ln>
            </c:spPr>
            <c:txPr>
              <a:bodyPr/>
              <a:lstStyle/>
              <a:p>
                <a:pPr>
                  <a:defRPr sz="1058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endParaRPr lang="zh-CN"/>
              </a:p>
            </c:txPr>
            <c:showVal val="1"/>
            <c:showCatName val="1"/>
            <c:showPercent val="1"/>
            <c:showLeaderLines val="1"/>
          </c:dLbls>
          <c:cat>
            <c:strRef>
              <c:f>Sheet1!$B$1:$G$1</c:f>
              <c:strCache>
                <c:ptCount val="6"/>
                <c:pt idx="0">
                  <c:v>刑事</c:v>
                </c:pt>
                <c:pt idx="1">
                  <c:v>民事</c:v>
                </c:pt>
                <c:pt idx="2">
                  <c:v>行政</c:v>
                </c:pt>
                <c:pt idx="3">
                  <c:v>赔偿</c:v>
                </c:pt>
                <c:pt idx="4">
                  <c:v>执行</c:v>
                </c:pt>
                <c:pt idx="5">
                  <c:v>再审审查与审判监督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3290</c:v>
                </c:pt>
                <c:pt idx="1">
                  <c:v>30007</c:v>
                </c:pt>
                <c:pt idx="2">
                  <c:v>815</c:v>
                </c:pt>
                <c:pt idx="3">
                  <c:v>2</c:v>
                </c:pt>
                <c:pt idx="4">
                  <c:v>13245</c:v>
                </c:pt>
                <c:pt idx="5">
                  <c:v>58</c:v>
                </c:pt>
              </c:numCache>
            </c:numRef>
          </c:val>
        </c:ser>
        <c:dLbls>
          <c:showVal val="1"/>
          <c:showCatName val="1"/>
          <c:showPercent val="1"/>
        </c:dLbls>
        <c:firstSliceAng val="0"/>
      </c:pieChart>
      <c:spPr>
        <a:noFill/>
        <a:ln w="16790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66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675</Words>
  <Characters>3853</Characters>
  <Application>Microsoft Office Word</Application>
  <DocSecurity>0</DocSecurity>
  <Lines>32</Lines>
  <Paragraphs>9</Paragraphs>
  <ScaleCrop>false</ScaleCrop>
  <Company>Microsoft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李爽</dc:creator>
  <cp:keywords/>
  <dc:description/>
  <cp:lastModifiedBy>李爽</cp:lastModifiedBy>
  <cp:revision>2</cp:revision>
  <dcterms:created xsi:type="dcterms:W3CDTF">2015-08-07T00:44:00Z</dcterms:created>
  <dcterms:modified xsi:type="dcterms:W3CDTF">2015-08-07T00:48:00Z</dcterms:modified>
</cp:coreProperties>
</file>