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CE" w:rsidRPr="00F103F8" w:rsidRDefault="001664CE" w:rsidP="001664CE">
      <w:pPr>
        <w:spacing w:line="640" w:lineRule="exact"/>
        <w:jc w:val="center"/>
        <w:rPr>
          <w:rFonts w:ascii="方正小标宋_GBK" w:eastAsia="方正小标宋_GBK" w:hAnsi="方正小标宋简体" w:cs="方正小标宋简体"/>
          <w:color w:val="000000" w:themeColor="text1"/>
          <w:sz w:val="44"/>
        </w:rPr>
      </w:pPr>
      <w:r>
        <w:rPr>
          <w:rFonts w:ascii="方正小标宋_GBK" w:eastAsia="方正小标宋_GBK" w:hAnsi="方正小标宋简体" w:cs="方正小标宋简体" w:hint="eastAsia"/>
          <w:color w:val="000000" w:themeColor="text1"/>
          <w:sz w:val="44"/>
        </w:rPr>
        <w:t xml:space="preserve"> </w:t>
      </w:r>
      <w:r w:rsidRPr="00F103F8">
        <w:rPr>
          <w:rFonts w:ascii="方正小标宋_GBK" w:eastAsia="方正小标宋_GBK" w:hAnsi="方正小标宋简体" w:cs="方正小标宋简体" w:hint="eastAsia"/>
          <w:color w:val="000000" w:themeColor="text1"/>
          <w:sz w:val="44"/>
        </w:rPr>
        <w:t>全市法院1-</w:t>
      </w:r>
      <w:r w:rsidR="00E55643">
        <w:rPr>
          <w:rFonts w:ascii="方正小标宋_GBK" w:eastAsia="方正小标宋_GBK" w:hAnsi="方正小标宋简体" w:cs="方正小标宋简体" w:hint="eastAsia"/>
          <w:color w:val="000000" w:themeColor="text1"/>
          <w:sz w:val="44"/>
        </w:rPr>
        <w:t>9</w:t>
      </w:r>
      <w:r w:rsidRPr="00F103F8">
        <w:rPr>
          <w:rFonts w:ascii="方正小标宋_GBK" w:eastAsia="方正小标宋_GBK" w:hAnsi="方正小标宋简体" w:cs="方正小标宋简体" w:hint="eastAsia"/>
          <w:color w:val="000000" w:themeColor="text1"/>
          <w:sz w:val="44"/>
        </w:rPr>
        <w:t>月份审判运行态势分析报告</w:t>
      </w:r>
    </w:p>
    <w:p w:rsidR="001664CE" w:rsidRDefault="001664CE" w:rsidP="001664CE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1664CE" w:rsidRPr="00D949E9" w:rsidRDefault="001664CE" w:rsidP="001664CE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现将2018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</w:t>
      </w:r>
      <w:r w:rsidR="00E5564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1-9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月份全市法院审判运行态势分析报告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如下。</w:t>
      </w:r>
    </w:p>
    <w:p w:rsidR="001664CE" w:rsidRPr="0005144F" w:rsidRDefault="001664CE" w:rsidP="001664CE">
      <w:pPr>
        <w:spacing w:line="360" w:lineRule="auto"/>
        <w:ind w:firstLineChars="196" w:firstLine="627"/>
        <w:rPr>
          <w:rFonts w:ascii="黑体" w:eastAsia="黑体" w:hAnsi="黑体"/>
          <w:color w:val="000000" w:themeColor="text1"/>
          <w:sz w:val="32"/>
          <w:szCs w:val="32"/>
        </w:rPr>
      </w:pPr>
      <w:r w:rsidRPr="0029461E">
        <w:rPr>
          <w:rFonts w:ascii="黑体" w:eastAsia="黑体" w:hAnsi="黑体" w:cs="宋体" w:hint="eastAsia"/>
          <w:color w:val="000000" w:themeColor="text1"/>
          <w:sz w:val="32"/>
        </w:rPr>
        <w:t>一、</w:t>
      </w:r>
      <w:r w:rsidRPr="0029461E">
        <w:rPr>
          <w:rFonts w:ascii="黑体" w:eastAsia="黑体" w:hAnsi="黑体" w:hint="eastAsia"/>
          <w:color w:val="000000" w:themeColor="text1"/>
          <w:sz w:val="32"/>
          <w:szCs w:val="32"/>
        </w:rPr>
        <w:t>诉讼案件收结案情况</w:t>
      </w:r>
    </w:p>
    <w:p w:rsidR="001664CE" w:rsidRPr="0005144F" w:rsidRDefault="001664CE" w:rsidP="001664CE">
      <w:pPr>
        <w:spacing w:line="360" w:lineRule="auto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</w:pPr>
      <w:r w:rsidRPr="0005144F">
        <w:rPr>
          <w:rFonts w:ascii="楷体_GB2312" w:eastAsia="楷体_GB2312" w:hint="eastAsia"/>
          <w:color w:val="000000" w:themeColor="text1"/>
          <w:sz w:val="32"/>
          <w:szCs w:val="32"/>
        </w:rPr>
        <w:t>（一）收结案基本情况</w:t>
      </w:r>
    </w:p>
    <w:p w:rsidR="001664CE" w:rsidRDefault="001664CE" w:rsidP="001664CE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截止</w:t>
      </w:r>
      <w:r w:rsidR="009E7460">
        <w:rPr>
          <w:rFonts w:ascii="仿宋_GB2312" w:eastAsia="仿宋_GB2312" w:hint="eastAsia"/>
          <w:color w:val="000000" w:themeColor="text1"/>
          <w:sz w:val="32"/>
          <w:szCs w:val="32"/>
        </w:rPr>
        <w:t>9月末</w:t>
      </w:r>
      <w:r w:rsidRPr="00D949E9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全市法院诉讼案件结案率为</w:t>
      </w:r>
      <w:r w:rsidR="00CB388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77.86</w:t>
      </w: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%，同比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去年</w:t>
      </w:r>
      <w:r w:rsidR="004E644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同期</w:t>
      </w:r>
      <w:r w:rsidR="00054CC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80.55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</w:t>
      </w: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下降</w:t>
      </w:r>
      <w:r w:rsidR="00054CC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2.69</w:t>
      </w: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个百分点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</w:t>
      </w:r>
      <w:r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比全省法院均值</w:t>
      </w:r>
      <w:r w:rsidR="00A7546B"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80.49</w:t>
      </w:r>
      <w:r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%低</w:t>
      </w:r>
      <w:r w:rsidR="009E7460"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2.63</w:t>
      </w:r>
      <w:r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个百分点，位列全省法院第</w:t>
      </w:r>
      <w:r w:rsidR="009E7460"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八</w:t>
      </w:r>
      <w:r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名。市中院结案率</w:t>
      </w:r>
      <w:r w:rsidR="00054CC2"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79.46</w:t>
      </w:r>
      <w:r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%，同比去年</w:t>
      </w:r>
      <w:r w:rsidR="004E644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同期</w:t>
      </w:r>
      <w:r w:rsidR="00054CC2"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85.04</w:t>
      </w:r>
      <w:r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%下降</w:t>
      </w:r>
      <w:r w:rsidR="00054CC2"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5.58</w:t>
      </w:r>
      <w:r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个百分点，</w:t>
      </w:r>
      <w:r w:rsidR="009E7460"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低</w:t>
      </w:r>
      <w:r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于全省法院均值</w:t>
      </w:r>
      <w:r w:rsidR="009E7460"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1.03</w:t>
      </w:r>
      <w:r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个百分点，位列全省中院第</w:t>
      </w:r>
      <w:r w:rsidR="009E7460"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九</w:t>
      </w:r>
      <w:r w:rsidRP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名。</w:t>
      </w:r>
    </w:p>
    <w:p w:rsidR="001664CE" w:rsidRPr="00D949E9" w:rsidRDefault="001664CE" w:rsidP="001664CE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全市法院共受理诉讼案件</w:t>
      </w:r>
      <w:r w:rsidR="00054CC2">
        <w:rPr>
          <w:rFonts w:ascii="仿宋_GB2312" w:eastAsia="仿宋_GB2312" w:hAnsi="仿宋_GB2312" w:cs="仿宋_GB2312" w:hint="eastAsia"/>
          <w:sz w:val="32"/>
          <w:szCs w:val="32"/>
        </w:rPr>
        <w:t>68133</w:t>
      </w: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件，同比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去年</w:t>
      </w:r>
      <w:r w:rsidR="00054CC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76679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</w:t>
      </w: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下降</w:t>
      </w:r>
      <w:r w:rsidR="00054CC2">
        <w:rPr>
          <w:rFonts w:ascii="仿宋_GB2312" w:eastAsia="仿宋_GB2312" w:hAnsi="仿宋_GB2312" w:cs="仿宋_GB2312" w:hint="eastAsia"/>
          <w:sz w:val="32"/>
          <w:szCs w:val="32"/>
        </w:rPr>
        <w:t>11.15</w:t>
      </w:r>
      <w:r w:rsidRPr="00301F8D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。其中旧存案件</w:t>
      </w:r>
      <w:r w:rsidRPr="00301F8D">
        <w:rPr>
          <w:rFonts w:ascii="仿宋_GB2312" w:eastAsia="仿宋_GB2312" w:hAnsi="仿宋_GB2312" w:cs="仿宋_GB2312" w:hint="eastAsia"/>
          <w:sz w:val="32"/>
          <w:szCs w:val="32"/>
        </w:rPr>
        <w:t>4134</w:t>
      </w:r>
      <w:r w:rsidRPr="00301F8D">
        <w:rPr>
          <w:rFonts w:ascii="仿宋_GB2312" w:eastAsia="仿宋_GB2312" w:hAnsi="宋体" w:cs="宋体" w:hint="eastAsia"/>
          <w:sz w:val="32"/>
          <w:szCs w:val="32"/>
        </w:rPr>
        <w:t>件，同比</w:t>
      </w:r>
      <w:r>
        <w:rPr>
          <w:rFonts w:ascii="仿宋_GB2312" w:eastAsia="仿宋_GB2312" w:hAnsi="宋体" w:cs="宋体" w:hint="eastAsia"/>
          <w:sz w:val="32"/>
          <w:szCs w:val="32"/>
        </w:rPr>
        <w:t>去年3771件</w:t>
      </w:r>
      <w:r w:rsidRPr="00301F8D">
        <w:rPr>
          <w:rFonts w:ascii="仿宋_GB2312" w:eastAsia="仿宋_GB2312" w:hAnsi="宋体" w:cs="宋体" w:hint="eastAsia"/>
          <w:sz w:val="32"/>
          <w:szCs w:val="32"/>
        </w:rPr>
        <w:t>上升</w:t>
      </w:r>
      <w:r w:rsidRPr="00301F8D">
        <w:rPr>
          <w:rFonts w:ascii="仿宋_GB2312" w:eastAsia="仿宋_GB2312" w:hAnsi="仿宋_GB2312" w:cs="仿宋_GB2312" w:hint="eastAsia"/>
          <w:sz w:val="32"/>
          <w:szCs w:val="32"/>
        </w:rPr>
        <w:t>9.63%</w:t>
      </w: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，新收案件</w:t>
      </w:r>
      <w:r w:rsidR="00054CC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63999</w:t>
      </w: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件，同比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去年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72908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</w:t>
      </w: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下降12.2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</w:t>
      </w:r>
      <w:r w:rsidRPr="00301F8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%，</w:t>
      </w: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已结案件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53050</w:t>
      </w: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件，同比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去年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61764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</w:t>
      </w: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下降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14.11</w:t>
      </w: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%，</w:t>
      </w:r>
      <w:r w:rsidRPr="00301F8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未结案件</w:t>
      </w:r>
      <w:r w:rsidR="009E746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15083</w:t>
      </w:r>
      <w:r w:rsidRPr="00301F8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件，同比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去年</w:t>
      </w:r>
      <w:r w:rsidR="009E746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14915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件</w:t>
      </w:r>
      <w:r w:rsidR="009E746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上升1.13</w:t>
      </w:r>
      <w:r w:rsidRPr="00301F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%。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全市法院新收案件数量连续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个月保持同比下降趋势。</w:t>
      </w:r>
    </w:p>
    <w:p w:rsidR="001664CE" w:rsidRDefault="001664CE" w:rsidP="001664CE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市中院共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受理诉讼案件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10581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件，同比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去年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11578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下降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8.61%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。其中旧存案件756件，同比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去年190件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上升297.89</w:t>
      </w:r>
      <w:r w:rsidRPr="00C0760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，新收案件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9825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件，同比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去年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11388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下降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13.72</w:t>
      </w:r>
      <w:r w:rsidRPr="00C0760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，已结案件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8408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件，同比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去年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9846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下降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14.60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%，未结案件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2173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件，同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比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去年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1732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上升</w:t>
      </w:r>
      <w:r w:rsidR="009E746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25.46</w:t>
      </w:r>
      <w:r w:rsidRPr="00C0760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%。</w:t>
      </w:r>
    </w:p>
    <w:p w:rsidR="001664CE" w:rsidRDefault="001664CE" w:rsidP="001664CE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  <w:sectPr w:rsidR="001664CE" w:rsidSect="00E55643">
          <w:footerReference w:type="even" r:id="rId8"/>
          <w:footerReference w:type="default" r:id="rId9"/>
          <w:pgSz w:w="11906" w:h="16838" w:code="9"/>
          <w:pgMar w:top="2098" w:right="1588" w:bottom="1985" w:left="1588" w:header="851" w:footer="992" w:gutter="0"/>
          <w:pgNumType w:fmt="numberInDash"/>
          <w:cols w:space="425"/>
          <w:docGrid w:linePitch="312"/>
        </w:sect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 </w:t>
      </w:r>
      <w:r w:rsidR="004E6440" w:rsidRPr="004E644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从收结案的主要数据分析，全市法院</w:t>
      </w:r>
      <w:r w:rsidR="004E644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呈现新收数、受理数保持持续下降，旧存数、未结数上升，已结数下降的态势。</w:t>
      </w:r>
    </w:p>
    <w:tbl>
      <w:tblPr>
        <w:tblW w:w="13520" w:type="dxa"/>
        <w:tblInd w:w="108" w:type="dxa"/>
        <w:tblLook w:val="04A0"/>
      </w:tblPr>
      <w:tblGrid>
        <w:gridCol w:w="620"/>
        <w:gridCol w:w="28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70DB9" w:rsidRPr="00370DB9" w:rsidTr="00370DB9">
        <w:trPr>
          <w:trHeight w:val="400"/>
        </w:trPr>
        <w:tc>
          <w:tcPr>
            <w:tcW w:w="13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bookmarkStart w:id="0" w:name="RANGE!B1:U19"/>
            <w:r w:rsidRPr="00370DB9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2018</w:t>
            </w:r>
            <w:r w:rsidRPr="00370DB9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年</w:t>
            </w:r>
            <w:r w:rsidRPr="00370DB9">
              <w:rPr>
                <w:rFonts w:ascii="Arial" w:eastAsia="宋体" w:hAnsi="Arial" w:cs="Arial"/>
                <w:kern w:val="0"/>
                <w:sz w:val="28"/>
                <w:szCs w:val="28"/>
              </w:rPr>
              <w:t>1-9</w:t>
            </w:r>
            <w:r w:rsidRPr="00370DB9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月全市法院诉讼案件收结案情况统计表</w:t>
            </w:r>
            <w:bookmarkEnd w:id="0"/>
          </w:p>
        </w:tc>
      </w:tr>
      <w:tr w:rsidR="00370DB9" w:rsidRPr="00370DB9" w:rsidTr="00370DB9">
        <w:trPr>
          <w:trHeight w:val="300"/>
        </w:trPr>
        <w:tc>
          <w:tcPr>
            <w:tcW w:w="5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70DB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统计日期：</w:t>
            </w:r>
            <w:r w:rsidRPr="00370DB9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370DB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年</w:t>
            </w:r>
            <w:r w:rsidRPr="00370DB9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370DB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月</w:t>
            </w:r>
            <w:r w:rsidRPr="00370DB9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370DB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日至</w:t>
            </w:r>
            <w:r w:rsidRPr="00370DB9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370DB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年</w:t>
            </w:r>
            <w:r w:rsidRPr="00370DB9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370DB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月</w:t>
            </w:r>
            <w:r w:rsidRPr="00370DB9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370DB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DB9" w:rsidRPr="00370DB9" w:rsidRDefault="00370DB9" w:rsidP="00370DB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DB9" w:rsidRPr="00370DB9" w:rsidRDefault="00370DB9" w:rsidP="00370DB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DB9" w:rsidRPr="00370DB9" w:rsidRDefault="00370DB9" w:rsidP="00370DB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DB9" w:rsidRPr="00370DB9" w:rsidRDefault="00370DB9" w:rsidP="00370DB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DB9" w:rsidRPr="00370DB9" w:rsidRDefault="00370DB9" w:rsidP="00370DB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DB9" w:rsidRPr="00370DB9" w:rsidRDefault="00370DB9" w:rsidP="00370DB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70DB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单位：件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旧存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同比</w:t>
            </w:r>
            <w:r w:rsidR="004E6440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新收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同比</w:t>
            </w:r>
            <w:r w:rsidR="004E6440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受理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同比</w:t>
            </w:r>
            <w:r w:rsidR="004E6440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未结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同比</w:t>
            </w:r>
            <w:r w:rsidR="004E6440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已结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同比</w:t>
            </w:r>
            <w:r w:rsidR="004E6440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结案率</w:t>
            </w:r>
            <w:r w:rsidR="00503AF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同比</w:t>
            </w:r>
            <w:r w:rsidR="004E6440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长春市中级人民法院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297.89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9825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-13.72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10581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-8.61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2173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25.46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8408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-14.60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79.46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-5.58 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长春市双阳区人民法院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-45.24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2691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24.07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2737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21.48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34.80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2369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19.65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86.55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-1.33 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德惠市人民法院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50.42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-32.48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5281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-31.19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-20.10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4462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-32.90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84.49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-2.15 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农安县人民法院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64.95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4835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-22.87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5155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-20.24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67.09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-29.65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79.61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-10.66 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长春市九台区人民法院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1.98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-16.22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5617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-15.53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-26.42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4447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-12.11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79.17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3.08 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长春市绿园区人民法院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19.50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3934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-12.77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-11.67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45.96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3257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-20.07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78.98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-8.30 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长春市宽城区人民法院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-35.86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2.60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4622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-1.51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982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2.19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3640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-2.47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78.75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-0.77 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榆树市人民法院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39.66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6046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-22.43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6451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-20.20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5073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-25.22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78.64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-5.28 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长春高新技术产业开发区人民法院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-15.85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-4.62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2239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-5.49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9.82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1758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-8.96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78.52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-2.99 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长春市二道区人民法院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-43.35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2676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-0.96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2808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-4.33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2.18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-5.98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78.35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-1.38 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长春市朝阳区人民法院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-6.19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-10.14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-9.90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-12.30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4490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-9.07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75.08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0.68 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长春经济技术开发区人民法院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69.80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4157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9.89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4573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13.53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-18.72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32.58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73.41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10.55 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长春净月高新技术产业开发区人民法院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28.00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1439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-3.03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1567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-1.07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31.69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-10.16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71.09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-7.19 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长春市南关区人民法院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-34.20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4574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-8.10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4953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-10.80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1476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-18.09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3477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-7.30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70.20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2.65 </w:t>
            </w:r>
          </w:p>
        </w:tc>
      </w:tr>
      <w:tr w:rsidR="00370DB9" w:rsidRPr="00370DB9" w:rsidTr="00370DB9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长春汽车经济技术开发区人民法院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-70.42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8.36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-4.18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26.09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-16.53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61.87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-9.15 </w:t>
            </w:r>
          </w:p>
        </w:tc>
      </w:tr>
      <w:tr w:rsidR="00370DB9" w:rsidRPr="00370DB9" w:rsidTr="00370DB9">
        <w:trPr>
          <w:trHeight w:val="36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9.63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63999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-12.22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68133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-11.15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15083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-14.11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77.86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DB9" w:rsidRPr="00370DB9" w:rsidRDefault="00370DB9" w:rsidP="00370DB9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370DB9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-2.69 </w:t>
            </w:r>
          </w:p>
        </w:tc>
      </w:tr>
    </w:tbl>
    <w:p w:rsidR="001664CE" w:rsidRPr="004A36D3" w:rsidRDefault="001664CE" w:rsidP="001664CE">
      <w:pPr>
        <w:widowControl/>
        <w:jc w:val="left"/>
        <w:rPr>
          <w:rFonts w:ascii="仿宋_GB2312" w:eastAsia="仿宋_GB2312" w:hAnsi="宋体" w:cs="宋体"/>
          <w:color w:val="000000" w:themeColor="text1"/>
          <w:sz w:val="32"/>
          <w:szCs w:val="32"/>
        </w:rPr>
        <w:sectPr w:rsidR="001664CE" w:rsidRPr="004A36D3" w:rsidSect="00E55643">
          <w:pgSz w:w="16838" w:h="11906" w:orient="landscape" w:code="9"/>
          <w:pgMar w:top="1588" w:right="2098" w:bottom="1588" w:left="1985" w:header="851" w:footer="992" w:gutter="0"/>
          <w:pgNumType w:fmt="numberInDash"/>
          <w:cols w:space="425"/>
          <w:docGrid w:linePitch="312"/>
        </w:sectPr>
      </w:pPr>
    </w:p>
    <w:p w:rsidR="001664CE" w:rsidRDefault="00C76DB9" w:rsidP="001664CE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  <w:sectPr w:rsidR="001664CE" w:rsidSect="00E55643">
          <w:pgSz w:w="11906" w:h="16838" w:code="9"/>
          <w:pgMar w:top="2098" w:right="1588" w:bottom="1985" w:left="1588" w:header="851" w:footer="992" w:gutter="0"/>
          <w:pgNumType w:fmt="numberInDash"/>
          <w:cols w:space="425"/>
          <w:docGrid w:linePitch="312"/>
        </w:sect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基层法院中，双阳法院、德惠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法院结案率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入围全省前20名，结案率均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超过</w:t>
      </w:r>
      <w:r w:rsidR="001664CE" w:rsidRPr="00826019">
        <w:rPr>
          <w:rFonts w:ascii="仿宋_GB2312" w:eastAsia="仿宋_GB2312" w:hint="eastAsia"/>
          <w:color w:val="000000" w:themeColor="text1"/>
          <w:sz w:val="32"/>
          <w:szCs w:val="32"/>
        </w:rPr>
        <w:t>80%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，分列全省</w:t>
      </w:r>
      <w:r w:rsidR="00AE1859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名、第</w:t>
      </w:r>
      <w:r w:rsidR="00AE1859">
        <w:rPr>
          <w:rFonts w:ascii="仿宋_GB2312" w:eastAsia="仿宋_GB2312" w:hint="eastAsia"/>
          <w:color w:val="000000" w:themeColor="text1"/>
          <w:sz w:val="32"/>
          <w:szCs w:val="32"/>
        </w:rPr>
        <w:t>16名。双阳法院、经开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法院在新收案件同比上升情况下，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克服人案矛盾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实现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已结案件数量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同比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提升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19.65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32.58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个百分点，管理成效显著。经调研，双阳区法院今年民间借贷纠纷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案件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买卖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合同案件、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借款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合同纠纷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案件</w:t>
      </w:r>
      <w:r w:rsidR="006265D8">
        <w:rPr>
          <w:rFonts w:ascii="仿宋_GB2312" w:eastAsia="仿宋_GB2312" w:hint="eastAsia"/>
          <w:color w:val="000000" w:themeColor="text1"/>
          <w:sz w:val="32"/>
          <w:szCs w:val="32"/>
        </w:rPr>
        <w:t>以及支付令案件转普通程序案件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同比均较大幅度增加，但双阳法院通过专业化审判团队实质化运行、深度探</w:t>
      </w:r>
      <w:r w:rsidR="006265D8">
        <w:rPr>
          <w:rFonts w:ascii="仿宋_GB2312" w:eastAsia="仿宋_GB2312" w:hint="eastAsia"/>
          <w:color w:val="000000" w:themeColor="text1"/>
          <w:sz w:val="32"/>
          <w:szCs w:val="32"/>
        </w:rPr>
        <w:t>索裁判文书繁简分流等方式，实现结案效率在全省创优、全市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领跑。</w:t>
      </w:r>
      <w:r w:rsidR="001664CE" w:rsidRPr="007507F5">
        <w:rPr>
          <w:rFonts w:ascii="仿宋_GB2312" w:eastAsia="仿宋_GB2312" w:hint="eastAsia"/>
          <w:color w:val="000000" w:themeColor="text1"/>
          <w:sz w:val="32"/>
          <w:szCs w:val="32"/>
        </w:rPr>
        <w:t>经开法院</w:t>
      </w:r>
      <w:r w:rsidR="007507F5" w:rsidRPr="007507F5">
        <w:rPr>
          <w:rFonts w:ascii="仿宋_GB2312" w:eastAsia="仿宋_GB2312" w:hint="eastAsia"/>
          <w:color w:val="000000" w:themeColor="text1"/>
          <w:sz w:val="32"/>
          <w:szCs w:val="32"/>
        </w:rPr>
        <w:t>员额人数减少，且家事案件取消集中管辖后，面临大批案件收尾和集中结案工作，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但该院能够顶住压力，</w:t>
      </w:r>
      <w:r w:rsidR="007507F5">
        <w:rPr>
          <w:rFonts w:ascii="仿宋_GB2312" w:eastAsia="仿宋_GB2312" w:hint="eastAsia"/>
          <w:color w:val="000000" w:themeColor="text1"/>
          <w:sz w:val="32"/>
          <w:szCs w:val="32"/>
        </w:rPr>
        <w:t>进一步优化资源配置，常态化抓好审判工作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7507F5">
        <w:rPr>
          <w:rFonts w:ascii="仿宋_GB2312" w:eastAsia="仿宋_GB2312" w:hint="eastAsia"/>
          <w:color w:val="000000" w:themeColor="text1"/>
          <w:sz w:val="32"/>
          <w:szCs w:val="32"/>
        </w:rPr>
        <w:t>实现结案数、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结案率同比双</w:t>
      </w:r>
      <w:r w:rsidR="007507F5">
        <w:rPr>
          <w:rFonts w:ascii="仿宋_GB2312" w:eastAsia="仿宋_GB2312" w:hint="eastAsia"/>
          <w:color w:val="000000" w:themeColor="text1"/>
          <w:sz w:val="32"/>
          <w:szCs w:val="32"/>
        </w:rPr>
        <w:t>提升，且提升幅度</w:t>
      </w:r>
      <w:r w:rsidR="00B01AD8">
        <w:rPr>
          <w:rFonts w:ascii="仿宋_GB2312" w:eastAsia="仿宋_GB2312" w:hint="eastAsia"/>
          <w:color w:val="000000" w:themeColor="text1"/>
          <w:sz w:val="32"/>
          <w:szCs w:val="32"/>
        </w:rPr>
        <w:t>列全市第一。德惠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法院积极构建诉调对接平台，深入推进繁简分流</w:t>
      </w:r>
      <w:r w:rsidR="007507F5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B01AD8">
        <w:rPr>
          <w:rFonts w:ascii="仿宋_GB2312" w:eastAsia="仿宋_GB2312" w:hint="eastAsia"/>
          <w:color w:val="000000" w:themeColor="text1"/>
          <w:sz w:val="32"/>
          <w:szCs w:val="32"/>
        </w:rPr>
        <w:t>保持了结案率</w:t>
      </w:r>
      <w:r w:rsidR="00030898">
        <w:rPr>
          <w:rFonts w:ascii="仿宋_GB2312" w:eastAsia="仿宋_GB2312" w:hint="eastAsia"/>
          <w:color w:val="000000" w:themeColor="text1"/>
          <w:sz w:val="32"/>
          <w:szCs w:val="32"/>
        </w:rPr>
        <w:t>位列</w:t>
      </w:r>
      <w:r w:rsidR="00B01AD8">
        <w:rPr>
          <w:rFonts w:ascii="仿宋_GB2312" w:eastAsia="仿宋_GB2312" w:hint="eastAsia"/>
          <w:color w:val="000000" w:themeColor="text1"/>
          <w:sz w:val="32"/>
          <w:szCs w:val="32"/>
        </w:rPr>
        <w:t>全省</w:t>
      </w:r>
      <w:r w:rsidR="00030898">
        <w:rPr>
          <w:rFonts w:ascii="仿宋_GB2312" w:eastAsia="仿宋_GB2312" w:hint="eastAsia"/>
          <w:color w:val="000000" w:themeColor="text1"/>
          <w:sz w:val="32"/>
          <w:szCs w:val="32"/>
        </w:rPr>
        <w:t>靠前位次</w:t>
      </w:r>
      <w:r w:rsidR="00CF5B55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4B632C">
        <w:rPr>
          <w:rFonts w:ascii="仿宋_GB2312" w:eastAsia="仿宋_GB2312" w:hint="eastAsia"/>
          <w:color w:val="000000" w:themeColor="text1"/>
          <w:sz w:val="32"/>
          <w:szCs w:val="32"/>
        </w:rPr>
        <w:t>九台法院、朝阳法院重视诉前调解，加大繁简分流力度，</w:t>
      </w:r>
      <w:r w:rsidR="00030898">
        <w:rPr>
          <w:rFonts w:ascii="仿宋_GB2312" w:eastAsia="仿宋_GB2312" w:hint="eastAsia"/>
          <w:color w:val="000000" w:themeColor="text1"/>
          <w:sz w:val="32"/>
          <w:szCs w:val="32"/>
        </w:rPr>
        <w:t>朝阳法院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探索公证送达方式，努力破解送达难题，</w:t>
      </w:r>
      <w:r w:rsidR="00030898">
        <w:rPr>
          <w:rFonts w:ascii="仿宋_GB2312" w:eastAsia="仿宋_GB2312" w:hint="eastAsia"/>
          <w:color w:val="000000" w:themeColor="text1"/>
          <w:sz w:val="32"/>
          <w:szCs w:val="32"/>
        </w:rPr>
        <w:t>两家法院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结案率</w:t>
      </w:r>
      <w:r w:rsidR="00030898">
        <w:rPr>
          <w:rFonts w:ascii="仿宋_GB2312" w:eastAsia="仿宋_GB2312" w:hint="eastAsia"/>
          <w:color w:val="000000" w:themeColor="text1"/>
          <w:sz w:val="32"/>
          <w:szCs w:val="32"/>
        </w:rPr>
        <w:t>同比小幅度提升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F83EB8">
        <w:rPr>
          <w:rFonts w:ascii="仿宋_GB2312" w:eastAsia="仿宋_GB2312" w:hint="eastAsia"/>
          <w:color w:val="000000" w:themeColor="text1"/>
          <w:sz w:val="32"/>
          <w:szCs w:val="32"/>
        </w:rPr>
        <w:t>南关法院针对大量评估鉴定案件积极与相关机构沟通，缩短周期，结案率同比实现小幅度提升。</w:t>
      </w:r>
      <w:r w:rsidR="007507F5">
        <w:rPr>
          <w:rFonts w:ascii="仿宋_GB2312" w:eastAsia="仿宋_GB2312" w:hint="eastAsia"/>
          <w:color w:val="000000" w:themeColor="text1"/>
          <w:sz w:val="32"/>
          <w:szCs w:val="32"/>
        </w:rPr>
        <w:t>农安、绿园、净月、汽开4家法院未结案件同比上升幅度较大且结案率同比下降幅度较大，需引起高度重视</w:t>
      </w:r>
      <w:r w:rsidR="00B01AD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F83EB8">
        <w:rPr>
          <w:rFonts w:ascii="仿宋_GB2312" w:eastAsia="仿宋_GB2312" w:hint="eastAsia"/>
          <w:color w:val="000000" w:themeColor="text1"/>
          <w:sz w:val="32"/>
          <w:szCs w:val="32"/>
        </w:rPr>
        <w:t>净月、南关、汽开</w:t>
      </w:r>
      <w:r w:rsidR="00CD0E97">
        <w:rPr>
          <w:rFonts w:ascii="仿宋_GB2312" w:eastAsia="仿宋_GB2312" w:hint="eastAsia"/>
          <w:color w:val="000000" w:themeColor="text1"/>
          <w:sz w:val="32"/>
          <w:szCs w:val="32"/>
        </w:rPr>
        <w:t>3家</w:t>
      </w:r>
      <w:r w:rsidR="00F83EB8">
        <w:rPr>
          <w:rFonts w:ascii="仿宋_GB2312" w:eastAsia="仿宋_GB2312" w:hint="eastAsia"/>
          <w:color w:val="000000" w:themeColor="text1"/>
          <w:sz w:val="32"/>
          <w:szCs w:val="32"/>
        </w:rPr>
        <w:t>法院</w:t>
      </w:r>
      <w:r w:rsidR="00CD0E97">
        <w:rPr>
          <w:rFonts w:ascii="仿宋_GB2312" w:eastAsia="仿宋_GB2312" w:hint="eastAsia"/>
          <w:color w:val="000000" w:themeColor="text1"/>
          <w:sz w:val="32"/>
          <w:szCs w:val="32"/>
        </w:rPr>
        <w:t>结案率位列全省后</w:t>
      </w:r>
      <w:r w:rsidR="0065320B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="00CD0E97">
        <w:rPr>
          <w:rFonts w:ascii="仿宋_GB2312" w:eastAsia="仿宋_GB2312" w:hint="eastAsia"/>
          <w:color w:val="000000" w:themeColor="text1"/>
          <w:sz w:val="32"/>
          <w:szCs w:val="32"/>
        </w:rPr>
        <w:t>名，汽开法院结案率低于70%。经调</w:t>
      </w:r>
      <w:r w:rsidR="00CD0E97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研，</w:t>
      </w:r>
      <w:r w:rsidR="008F369B">
        <w:rPr>
          <w:rFonts w:ascii="仿宋_GB2312" w:eastAsia="仿宋_GB2312" w:hint="eastAsia"/>
          <w:color w:val="000000" w:themeColor="text1"/>
          <w:sz w:val="32"/>
          <w:szCs w:val="32"/>
        </w:rPr>
        <w:t>除各院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抽调员额法官、法官助理参加执行攻坚，审判人员不足加剧的共性问题</w:t>
      </w:r>
      <w:r w:rsidR="008F369B">
        <w:rPr>
          <w:rFonts w:ascii="仿宋_GB2312" w:eastAsia="仿宋_GB2312" w:hint="eastAsia"/>
          <w:color w:val="000000" w:themeColor="text1"/>
          <w:sz w:val="32"/>
          <w:szCs w:val="32"/>
        </w:rPr>
        <w:t>外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，也与各院日常管理调度、受理案件特殊情形等因素密不可分。绿园法院受理的劳动争议案件</w:t>
      </w:r>
      <w:r w:rsidR="00842FEA">
        <w:rPr>
          <w:rFonts w:ascii="仿宋_GB2312" w:eastAsia="仿宋_GB2312" w:hint="eastAsia"/>
          <w:color w:val="000000" w:themeColor="text1"/>
          <w:sz w:val="32"/>
          <w:szCs w:val="32"/>
        </w:rPr>
        <w:t>同比增幅超过50%，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且</w:t>
      </w:r>
      <w:r w:rsidR="00842FEA">
        <w:rPr>
          <w:rFonts w:ascii="仿宋_GB2312" w:eastAsia="仿宋_GB2312" w:hint="eastAsia"/>
          <w:color w:val="000000" w:themeColor="text1"/>
          <w:sz w:val="32"/>
          <w:szCs w:val="32"/>
        </w:rPr>
        <w:t>双方当事人矛盾大、争点多、</w:t>
      </w:r>
      <w:r w:rsidR="004E6440">
        <w:rPr>
          <w:rFonts w:ascii="仿宋_GB2312" w:eastAsia="仿宋_GB2312" w:hint="eastAsia"/>
          <w:color w:val="000000" w:themeColor="text1"/>
          <w:sz w:val="32"/>
          <w:szCs w:val="32"/>
        </w:rPr>
        <w:t>对抗情绪激烈</w:t>
      </w:r>
      <w:r w:rsidR="00842FEA">
        <w:rPr>
          <w:rFonts w:ascii="仿宋_GB2312" w:eastAsia="仿宋_GB2312" w:hint="eastAsia"/>
          <w:color w:val="000000" w:themeColor="text1"/>
          <w:sz w:val="32"/>
          <w:szCs w:val="32"/>
        </w:rPr>
        <w:t>，又因经济原因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多不聘请律师，大量案件需经过两次庭审</w:t>
      </w:r>
      <w:r w:rsidR="00842FEA">
        <w:rPr>
          <w:rFonts w:ascii="仿宋_GB2312" w:eastAsia="仿宋_GB2312" w:hint="eastAsia"/>
          <w:color w:val="000000" w:themeColor="text1"/>
          <w:sz w:val="32"/>
          <w:szCs w:val="32"/>
        </w:rPr>
        <w:t>，影响结案效率</w:t>
      </w:r>
      <w:r w:rsidR="001664CE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="00DF6B79">
        <w:rPr>
          <w:rFonts w:ascii="仿宋_GB2312" w:eastAsia="仿宋_GB2312" w:hint="eastAsia"/>
          <w:color w:val="000000" w:themeColor="text1"/>
          <w:sz w:val="32"/>
          <w:szCs w:val="32"/>
        </w:rPr>
        <w:t>净月法院</w:t>
      </w:r>
      <w:r w:rsidR="004E6440">
        <w:rPr>
          <w:rFonts w:ascii="仿宋_GB2312" w:eastAsia="仿宋_GB2312" w:hint="eastAsia"/>
          <w:color w:val="000000" w:themeColor="text1"/>
          <w:sz w:val="32"/>
          <w:szCs w:val="32"/>
        </w:rPr>
        <w:t>受理的</w:t>
      </w:r>
      <w:r w:rsidR="00DF6B79">
        <w:rPr>
          <w:rFonts w:ascii="仿宋_GB2312" w:eastAsia="仿宋_GB2312" w:hint="eastAsia"/>
          <w:color w:val="000000" w:themeColor="text1"/>
          <w:sz w:val="32"/>
          <w:szCs w:val="32"/>
        </w:rPr>
        <w:t>房屋买卖合同纠纷、民间借贷纠纷、机动车交通事故责任纠纷、劳动争议类系列案为统一裁判尺度、确保类案同判，正在等待部分案件的审理结果。</w:t>
      </w:r>
      <w:r w:rsidR="009C068F">
        <w:rPr>
          <w:rFonts w:ascii="仿宋_GB2312" w:eastAsia="仿宋_GB2312" w:hint="eastAsia"/>
          <w:color w:val="000000" w:themeColor="text1"/>
          <w:sz w:val="32"/>
          <w:szCs w:val="32"/>
        </w:rPr>
        <w:t>对此问题，有关法院应借鉴先进法院多元纠纷化解</w:t>
      </w:r>
      <w:r w:rsidR="00903285">
        <w:rPr>
          <w:rFonts w:ascii="仿宋_GB2312" w:eastAsia="仿宋_GB2312" w:hint="eastAsia"/>
          <w:color w:val="000000" w:themeColor="text1"/>
          <w:sz w:val="32"/>
          <w:szCs w:val="32"/>
        </w:rPr>
        <w:t>经验</w:t>
      </w:r>
      <w:r w:rsidR="009C068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903285">
        <w:rPr>
          <w:rFonts w:ascii="仿宋_GB2312" w:eastAsia="仿宋_GB2312" w:hint="eastAsia"/>
          <w:color w:val="000000" w:themeColor="text1"/>
          <w:sz w:val="32"/>
          <w:szCs w:val="32"/>
        </w:rPr>
        <w:t>分流</w:t>
      </w:r>
      <w:r w:rsidR="009C068F">
        <w:rPr>
          <w:rFonts w:ascii="仿宋_GB2312" w:eastAsia="仿宋_GB2312" w:hint="eastAsia"/>
          <w:color w:val="000000" w:themeColor="text1"/>
          <w:sz w:val="32"/>
          <w:szCs w:val="32"/>
        </w:rPr>
        <w:t>劳动争议、机动车肇事新收案件，</w:t>
      </w:r>
      <w:r w:rsidR="00693146">
        <w:rPr>
          <w:rFonts w:ascii="仿宋_GB2312" w:eastAsia="仿宋_GB2312" w:hint="eastAsia"/>
          <w:color w:val="000000" w:themeColor="text1"/>
          <w:sz w:val="32"/>
          <w:szCs w:val="32"/>
        </w:rPr>
        <w:t>强化</w:t>
      </w:r>
      <w:r w:rsidR="009C068F">
        <w:rPr>
          <w:rFonts w:ascii="仿宋_GB2312" w:eastAsia="仿宋_GB2312" w:hint="eastAsia"/>
          <w:color w:val="000000" w:themeColor="text1"/>
          <w:sz w:val="32"/>
          <w:szCs w:val="32"/>
        </w:rPr>
        <w:t>庭前会议准备工作，在庭前确定案件争点，完成证据交换，提高庭审效率</w:t>
      </w:r>
      <w:r w:rsidR="004B632C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9C068F">
        <w:rPr>
          <w:rFonts w:ascii="仿宋_GB2312" w:eastAsia="仿宋_GB2312" w:hint="eastAsia"/>
          <w:color w:val="000000" w:themeColor="text1"/>
          <w:sz w:val="32"/>
          <w:szCs w:val="32"/>
        </w:rPr>
        <w:t>市中院审管办、信息办将加快建立类案检索机制，强化信息保障，提高类案检索的信息化水平。</w:t>
      </w:r>
      <w:r w:rsidR="0090328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</w:t>
      </w:r>
    </w:p>
    <w:tbl>
      <w:tblPr>
        <w:tblW w:w="11760" w:type="dxa"/>
        <w:tblInd w:w="108" w:type="dxa"/>
        <w:tblLook w:val="04A0"/>
      </w:tblPr>
      <w:tblGrid>
        <w:gridCol w:w="620"/>
        <w:gridCol w:w="106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D74941" w:rsidRPr="00D74941" w:rsidTr="00D74941">
        <w:trPr>
          <w:trHeight w:val="400"/>
        </w:trPr>
        <w:tc>
          <w:tcPr>
            <w:tcW w:w="11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 w:rsidRPr="00D74941">
              <w:rPr>
                <w:rFonts w:ascii="Arial" w:eastAsia="宋体" w:hAnsi="Arial" w:cs="Arial"/>
                <w:kern w:val="0"/>
                <w:sz w:val="32"/>
                <w:szCs w:val="32"/>
              </w:rPr>
              <w:lastRenderedPageBreak/>
              <w:t>2018</w:t>
            </w:r>
            <w:r w:rsidRPr="00D74941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>年</w:t>
            </w:r>
            <w:r w:rsidRPr="00D74941">
              <w:rPr>
                <w:rFonts w:ascii="Arial" w:eastAsia="宋体" w:hAnsi="Arial" w:cs="Arial"/>
                <w:kern w:val="0"/>
                <w:sz w:val="32"/>
                <w:szCs w:val="32"/>
              </w:rPr>
              <w:t>1-9</w:t>
            </w:r>
            <w:r w:rsidRPr="00D74941">
              <w:rPr>
                <w:rFonts w:ascii="宋体" w:eastAsia="宋体" w:hAnsi="宋体" w:cs="Arial" w:hint="eastAsia"/>
                <w:kern w:val="0"/>
                <w:sz w:val="32"/>
                <w:szCs w:val="32"/>
              </w:rPr>
              <w:t>月长春中院各审判业务部门收结案情况统计表</w:t>
            </w:r>
          </w:p>
        </w:tc>
      </w:tr>
      <w:tr w:rsidR="00D74941" w:rsidRPr="00D74941" w:rsidTr="00D74941">
        <w:trPr>
          <w:trHeight w:val="260"/>
        </w:trPr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7494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统计日期：</w:t>
            </w:r>
            <w:r w:rsidRPr="00D74941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D7494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年</w:t>
            </w:r>
            <w:r w:rsidRPr="00D7494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D7494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月</w:t>
            </w:r>
            <w:r w:rsidRPr="00D7494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D7494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日至</w:t>
            </w:r>
            <w:r w:rsidRPr="00D74941">
              <w:rPr>
                <w:rFonts w:ascii="Arial" w:eastAsia="宋体" w:hAnsi="Arial" w:cs="Arial"/>
                <w:kern w:val="0"/>
                <w:sz w:val="20"/>
                <w:szCs w:val="20"/>
              </w:rPr>
              <w:t>2018</w:t>
            </w:r>
            <w:r w:rsidRPr="00D7494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年</w:t>
            </w:r>
            <w:r w:rsidRPr="00D74941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  <w:r w:rsidRPr="00D7494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月</w:t>
            </w:r>
            <w:r w:rsidRPr="00D74941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D7494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41" w:rsidRPr="00D74941" w:rsidRDefault="00D74941" w:rsidP="00D7494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41" w:rsidRPr="00D74941" w:rsidRDefault="00D74941" w:rsidP="00D7494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41" w:rsidRPr="00D74941" w:rsidRDefault="00D74941" w:rsidP="00D7494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41" w:rsidRPr="00D74941" w:rsidRDefault="00D74941" w:rsidP="00D7494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41" w:rsidRPr="00D74941" w:rsidRDefault="00D74941" w:rsidP="00D7494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41" w:rsidRPr="00D74941" w:rsidRDefault="00D74941" w:rsidP="00D7494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41" w:rsidRPr="00D74941" w:rsidRDefault="00D74941" w:rsidP="00D7494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41" w:rsidRPr="00D74941" w:rsidRDefault="00D74941" w:rsidP="00D74941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D74941" w:rsidRPr="00D74941" w:rsidTr="00D7494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旧存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同比</w:t>
            </w:r>
            <w:r w:rsidR="00503AF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新收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同比</w:t>
            </w:r>
            <w:r w:rsidR="00503AF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受理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同比</w:t>
            </w:r>
            <w:r w:rsidR="00503AF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未结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同比</w:t>
            </w:r>
            <w:r w:rsidR="00503AF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已结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同比</w:t>
            </w:r>
            <w:r w:rsidR="00503AF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结案率</w:t>
            </w:r>
            <w:r w:rsidR="00503AF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同比</w:t>
            </w:r>
            <w:r w:rsidR="00503AF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（%）</w:t>
            </w:r>
          </w:p>
        </w:tc>
      </w:tr>
      <w:tr w:rsidR="00D74941" w:rsidRPr="00D74941" w:rsidTr="00D74941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院长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98.33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103.33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31.58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136.59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79.51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11.17</w:t>
            </w:r>
          </w:p>
        </w:tc>
      </w:tr>
      <w:tr w:rsidR="00D74941" w:rsidRPr="00D74941" w:rsidTr="00D74941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立案一庭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20.75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20.75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-66.67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22.44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99.48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1.37</w:t>
            </w:r>
          </w:p>
        </w:tc>
      </w:tr>
      <w:tr w:rsidR="00D74941" w:rsidRPr="00D74941" w:rsidTr="00D74941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审监一庭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7.42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3147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155.56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7.69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99.27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-0.42</w:t>
            </w:r>
          </w:p>
        </w:tc>
      </w:tr>
      <w:tr w:rsidR="00D74941" w:rsidRPr="00D74941" w:rsidTr="00D74941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刑二庭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57.14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-23.52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-22.55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-25.58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85.33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-3.48</w:t>
            </w:r>
          </w:p>
        </w:tc>
      </w:tr>
      <w:tr w:rsidR="00D74941" w:rsidRPr="00D74941" w:rsidTr="00D74941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民一庭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123.21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9.25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-20.20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17.60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83.88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5.95</w:t>
            </w:r>
          </w:p>
        </w:tc>
      </w:tr>
      <w:tr w:rsidR="00D74941" w:rsidRPr="00D74941" w:rsidTr="00D74941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审监二庭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550.00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13.25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25.88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40.26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21.67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74.77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-2.59</w:t>
            </w:r>
          </w:p>
        </w:tc>
      </w:tr>
      <w:tr w:rsidR="00D74941" w:rsidRPr="00D74941" w:rsidTr="00D74941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民五庭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494.44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-27.21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-21.43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59.92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-36.37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68.42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-16.07</w:t>
            </w:r>
          </w:p>
        </w:tc>
      </w:tr>
      <w:tr w:rsidR="00D74941" w:rsidRPr="00D74941" w:rsidTr="00D74941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民四庭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593.75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-17.67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-10.21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34.03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-22.66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67.23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-10.82</w:t>
            </w:r>
          </w:p>
        </w:tc>
      </w:tr>
      <w:tr w:rsidR="00D74941" w:rsidRPr="00D74941" w:rsidTr="00D74941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刑一庭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233.33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10.68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72.73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-6.17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66.67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-11.97</w:t>
            </w:r>
          </w:p>
        </w:tc>
      </w:tr>
      <w:tr w:rsidR="00D74941" w:rsidRPr="00D74941" w:rsidTr="00D74941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民二庭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581.58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-36.67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1884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-27.65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-38.98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63.32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-11.75</w:t>
            </w:r>
          </w:p>
        </w:tc>
      </w:tr>
      <w:tr w:rsidR="00D74941" w:rsidRPr="00D74941" w:rsidTr="00D74941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行政庭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533.33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-9.25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-5.77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117.24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-33.86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57.14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-24.27</w:t>
            </w:r>
          </w:p>
        </w:tc>
      </w:tr>
      <w:tr w:rsidR="00D74941" w:rsidRPr="00D74941" w:rsidTr="00D74941">
        <w:trPr>
          <w:trHeight w:val="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民三庭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16.81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12.74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133.33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-23.14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52.54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-24.53</w:t>
            </w:r>
          </w:p>
        </w:tc>
      </w:tr>
    </w:tbl>
    <w:p w:rsidR="001664CE" w:rsidRDefault="001664CE" w:rsidP="001664CE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  <w:sectPr w:rsidR="001664CE" w:rsidSect="00E55643">
          <w:pgSz w:w="16838" w:h="11906" w:orient="landscape" w:code="9"/>
          <w:pgMar w:top="1588" w:right="2098" w:bottom="1588" w:left="1985" w:header="851" w:footer="992" w:gutter="0"/>
          <w:pgNumType w:fmt="numberInDash"/>
          <w:cols w:space="425"/>
          <w:docGrid w:linePitch="312"/>
        </w:sectPr>
      </w:pPr>
    </w:p>
    <w:p w:rsidR="001664CE" w:rsidRPr="006A7C2E" w:rsidRDefault="001664CE" w:rsidP="001664CE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26EED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市中院结案率高于80%的部门有立案一庭、</w:t>
      </w:r>
      <w:r w:rsidR="000D084E" w:rsidRPr="00326EED">
        <w:rPr>
          <w:rFonts w:ascii="仿宋_GB2312" w:eastAsia="仿宋_GB2312" w:hint="eastAsia"/>
          <w:color w:val="000000" w:themeColor="text1"/>
          <w:sz w:val="32"/>
          <w:szCs w:val="32"/>
        </w:rPr>
        <w:t>审监一庭、</w:t>
      </w:r>
      <w:r w:rsidRPr="00326EED">
        <w:rPr>
          <w:rFonts w:ascii="仿宋_GB2312" w:eastAsia="仿宋_GB2312" w:hint="eastAsia"/>
          <w:color w:val="000000" w:themeColor="text1"/>
          <w:sz w:val="32"/>
          <w:szCs w:val="32"/>
        </w:rPr>
        <w:t>刑二庭、民一庭，结案率低于70%的部门有民五庭、民四庭、</w:t>
      </w:r>
      <w:r w:rsidR="000D084E" w:rsidRPr="00326EED">
        <w:rPr>
          <w:rFonts w:ascii="仿宋_GB2312" w:eastAsia="仿宋_GB2312" w:hint="eastAsia"/>
          <w:color w:val="000000" w:themeColor="text1"/>
          <w:sz w:val="32"/>
          <w:szCs w:val="32"/>
        </w:rPr>
        <w:t>刑一庭、</w:t>
      </w:r>
      <w:r w:rsidRPr="00326EED">
        <w:rPr>
          <w:rFonts w:ascii="仿宋_GB2312" w:eastAsia="仿宋_GB2312" w:hint="eastAsia"/>
          <w:color w:val="000000" w:themeColor="text1"/>
          <w:sz w:val="32"/>
          <w:szCs w:val="32"/>
        </w:rPr>
        <w:t>民二庭、行政庭、民三庭。</w:t>
      </w:r>
      <w:r w:rsidR="00326EED">
        <w:rPr>
          <w:rFonts w:ascii="仿宋_GB2312" w:eastAsia="仿宋_GB2312" w:hint="eastAsia"/>
          <w:color w:val="000000" w:themeColor="text1"/>
          <w:sz w:val="32"/>
          <w:szCs w:val="32"/>
        </w:rPr>
        <w:t>各部门</w:t>
      </w:r>
      <w:r w:rsidR="00326EED" w:rsidRPr="00326EED">
        <w:rPr>
          <w:rFonts w:ascii="仿宋_GB2312" w:eastAsia="仿宋_GB2312" w:hint="eastAsia"/>
          <w:color w:val="000000" w:themeColor="text1"/>
          <w:sz w:val="32"/>
          <w:szCs w:val="32"/>
        </w:rPr>
        <w:t>中，立案一庭、民一庭结案数、结案率同比双提升。</w:t>
      </w:r>
      <w:r w:rsidR="00326EED">
        <w:rPr>
          <w:rFonts w:ascii="仿宋_GB2312" w:eastAsia="仿宋_GB2312" w:hint="eastAsia"/>
          <w:color w:val="000000" w:themeColor="text1"/>
          <w:sz w:val="32"/>
          <w:szCs w:val="32"/>
        </w:rPr>
        <w:t>民三庭、行政庭、民五庭未结案件数同比</w:t>
      </w:r>
      <w:r w:rsidR="004B632C">
        <w:rPr>
          <w:rFonts w:ascii="仿宋_GB2312" w:eastAsia="仿宋_GB2312" w:hint="eastAsia"/>
          <w:color w:val="000000" w:themeColor="text1"/>
          <w:sz w:val="32"/>
          <w:szCs w:val="32"/>
        </w:rPr>
        <w:t>增加</w:t>
      </w:r>
      <w:r w:rsidR="00693146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26EED">
        <w:rPr>
          <w:rFonts w:ascii="仿宋_GB2312" w:eastAsia="仿宋_GB2312" w:hint="eastAsia"/>
          <w:color w:val="000000" w:themeColor="text1"/>
          <w:sz w:val="32"/>
          <w:szCs w:val="32"/>
        </w:rPr>
        <w:t>结案数、结案率同比下降，结案率同比降幅均超过15个百分点。</w:t>
      </w:r>
      <w:r w:rsidRPr="00326EED">
        <w:rPr>
          <w:rFonts w:ascii="仿宋_GB2312" w:eastAsia="仿宋_GB2312" w:hint="eastAsia"/>
          <w:color w:val="000000" w:themeColor="text1"/>
          <w:sz w:val="32"/>
          <w:szCs w:val="32"/>
        </w:rPr>
        <w:t>经调研，民三庭7月中旬裁定受理了吉林省粮食集团下属25家企业破产重整系列案件，同时市中院和基层院新移送破产审查案件6件，未结案件同比大幅提升</w:t>
      </w:r>
      <w:r w:rsidR="0026134D">
        <w:rPr>
          <w:rFonts w:ascii="仿宋_GB2312" w:eastAsia="仿宋_GB2312" w:hint="eastAsia"/>
          <w:color w:val="000000" w:themeColor="text1"/>
          <w:sz w:val="32"/>
          <w:szCs w:val="32"/>
        </w:rPr>
        <w:t>，结案率同比下降</w:t>
      </w:r>
      <w:r w:rsidRPr="00326EED">
        <w:rPr>
          <w:rFonts w:ascii="仿宋_GB2312" w:eastAsia="仿宋_GB2312" w:hint="eastAsia"/>
          <w:color w:val="000000" w:themeColor="text1"/>
          <w:sz w:val="32"/>
          <w:szCs w:val="32"/>
        </w:rPr>
        <w:t>；行政庭新收的63件政府征收系列案件，因信访维稳、降低发改风险的考量，行政庭对其中的2件案件进行示范审判，当事人已经提起上诉，待省法院二审结案后再行确定其他案件裁判思路。</w:t>
      </w:r>
    </w:p>
    <w:p w:rsidR="001664CE" w:rsidRPr="0005144F" w:rsidRDefault="001664CE" w:rsidP="001664CE">
      <w:pPr>
        <w:spacing w:line="360" w:lineRule="auto"/>
        <w:ind w:firstLineChars="200" w:firstLine="640"/>
        <w:rPr>
          <w:rFonts w:ascii="楷体_GB2312" w:eastAsia="楷体_GB2312"/>
          <w:color w:val="000000" w:themeColor="text1"/>
          <w:sz w:val="32"/>
          <w:szCs w:val="32"/>
        </w:rPr>
        <w:sectPr w:rsidR="001664CE" w:rsidRPr="0005144F" w:rsidSect="00E55643">
          <w:pgSz w:w="11906" w:h="16838" w:code="9"/>
          <w:pgMar w:top="2098" w:right="1588" w:bottom="1985" w:left="1588" w:header="851" w:footer="992" w:gutter="0"/>
          <w:pgNumType w:fmt="numberInDash"/>
          <w:cols w:space="425"/>
          <w:docGrid w:linePitch="312"/>
        </w:sectPr>
      </w:pPr>
    </w:p>
    <w:tbl>
      <w:tblPr>
        <w:tblW w:w="10120" w:type="dxa"/>
        <w:tblInd w:w="96" w:type="dxa"/>
        <w:tblLook w:val="04A0"/>
      </w:tblPr>
      <w:tblGrid>
        <w:gridCol w:w="840"/>
        <w:gridCol w:w="1060"/>
        <w:gridCol w:w="1180"/>
        <w:gridCol w:w="1180"/>
        <w:gridCol w:w="1180"/>
        <w:gridCol w:w="1140"/>
        <w:gridCol w:w="1180"/>
        <w:gridCol w:w="1180"/>
        <w:gridCol w:w="1180"/>
      </w:tblGrid>
      <w:tr w:rsidR="00404FEB" w:rsidRPr="00404FEB" w:rsidTr="00404FEB">
        <w:trPr>
          <w:trHeight w:val="700"/>
        </w:trPr>
        <w:tc>
          <w:tcPr>
            <w:tcW w:w="10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404FEB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lastRenderedPageBreak/>
              <w:t>全市法院人均收结案数（诉讼</w:t>
            </w:r>
            <w:r w:rsidRPr="00404FEB">
              <w:rPr>
                <w:rFonts w:ascii="Arial" w:eastAsia="宋体" w:hAnsi="Arial" w:cs="Arial"/>
                <w:kern w:val="0"/>
                <w:sz w:val="28"/>
                <w:szCs w:val="28"/>
              </w:rPr>
              <w:t>+</w:t>
            </w:r>
            <w:r w:rsidRPr="00404FEB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执行）</w:t>
            </w:r>
            <w:r w:rsidRPr="00404FEB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br/>
              <w:t>（按人均受案数、人均结案数分别排序）</w:t>
            </w:r>
          </w:p>
        </w:tc>
      </w:tr>
      <w:tr w:rsidR="00404FEB" w:rsidRPr="00404FEB" w:rsidTr="00404FEB">
        <w:trPr>
          <w:trHeight w:val="340"/>
        </w:trPr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04FEB">
              <w:rPr>
                <w:rFonts w:ascii="Arial" w:eastAsia="宋体" w:hAnsi="Arial" w:cs="Arial"/>
                <w:kern w:val="0"/>
                <w:sz w:val="20"/>
                <w:szCs w:val="20"/>
              </w:rPr>
              <w:t>2018.1.1-2018.9.30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04FEB" w:rsidRPr="00404FEB" w:rsidTr="00404FEB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受理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员额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人均受案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已结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员额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人均结案</w:t>
            </w:r>
          </w:p>
        </w:tc>
      </w:tr>
      <w:tr w:rsidR="00404FEB" w:rsidRPr="00404FEB" w:rsidTr="00404FE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中院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12654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118.26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中院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9988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93.35 </w:t>
            </w:r>
          </w:p>
        </w:tc>
      </w:tr>
      <w:tr w:rsidR="00404FEB" w:rsidRPr="00404FEB" w:rsidTr="00404FE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经开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291.25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经开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215.90 </w:t>
            </w:r>
          </w:p>
        </w:tc>
      </w:tr>
      <w:tr w:rsidR="00404FEB" w:rsidRPr="00404FEB" w:rsidTr="00404FE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九台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219.49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高新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175.06 </w:t>
            </w:r>
          </w:p>
        </w:tc>
      </w:tr>
      <w:tr w:rsidR="00404FEB" w:rsidRPr="00404FEB" w:rsidTr="00404FE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高新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216.11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九台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6849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167.05 </w:t>
            </w:r>
          </w:p>
        </w:tc>
      </w:tr>
      <w:tr w:rsidR="00404FEB" w:rsidRPr="00404FEB" w:rsidTr="00404FE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南关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8763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190.50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南关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143.59 </w:t>
            </w:r>
          </w:p>
        </w:tc>
      </w:tr>
      <w:tr w:rsidR="00404FEB" w:rsidRPr="00404FEB" w:rsidTr="00404FE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朝阳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8943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182.51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朝阳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137.69 </w:t>
            </w:r>
          </w:p>
        </w:tc>
      </w:tr>
      <w:tr w:rsidR="00404FEB" w:rsidRPr="00404FEB" w:rsidTr="00404FE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榆树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9001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180.02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榆树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6776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135.52 </w:t>
            </w:r>
          </w:p>
        </w:tc>
      </w:tr>
      <w:tr w:rsidR="00404FEB" w:rsidRPr="00404FEB" w:rsidTr="00404FE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绿园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166.30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绿园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132.50 </w:t>
            </w:r>
          </w:p>
        </w:tc>
      </w:tr>
      <w:tr w:rsidR="00404FEB" w:rsidRPr="00404FEB" w:rsidTr="00404FE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宽城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160.20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宽城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129.82 </w:t>
            </w:r>
          </w:p>
        </w:tc>
      </w:tr>
      <w:tr w:rsidR="00404FEB" w:rsidRPr="00404FEB" w:rsidTr="00404FE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净月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158.50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双阳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124.26 </w:t>
            </w:r>
          </w:p>
        </w:tc>
      </w:tr>
      <w:tr w:rsidR="00404FEB" w:rsidRPr="00404FEB" w:rsidTr="00404FE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德惠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7582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154.73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德惠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124.08 </w:t>
            </w:r>
          </w:p>
        </w:tc>
      </w:tr>
      <w:tr w:rsidR="00404FEB" w:rsidRPr="00404FEB" w:rsidTr="00404FE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双阳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4715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152.10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农安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119.69 </w:t>
            </w:r>
          </w:p>
        </w:tc>
      </w:tr>
      <w:tr w:rsidR="00404FEB" w:rsidRPr="00404FEB" w:rsidTr="00404FE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农安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144.88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净月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117.93 </w:t>
            </w:r>
          </w:p>
        </w:tc>
      </w:tr>
      <w:tr w:rsidR="00404FEB" w:rsidRPr="00404FEB" w:rsidTr="00404FE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汽开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2114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132.13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二道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3374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96.40 </w:t>
            </w:r>
          </w:p>
        </w:tc>
      </w:tr>
      <w:tr w:rsidR="00404FEB" w:rsidRPr="00404FEB" w:rsidTr="00404FEB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二道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124.03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汽开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90.31 </w:t>
            </w:r>
          </w:p>
        </w:tc>
      </w:tr>
      <w:tr w:rsidR="00404FEB" w:rsidRPr="00404FEB" w:rsidTr="00404FEB">
        <w:trPr>
          <w:trHeight w:val="4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100281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163.86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78072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FEB" w:rsidRPr="00404FEB" w:rsidRDefault="00404FEB" w:rsidP="00404FEB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404FEB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127.57 </w:t>
            </w:r>
          </w:p>
        </w:tc>
      </w:tr>
    </w:tbl>
    <w:p w:rsidR="001664CE" w:rsidRDefault="001664CE" w:rsidP="001664CE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  <w:sectPr w:rsidR="001664CE" w:rsidSect="00E55643">
          <w:pgSz w:w="16838" w:h="11906" w:orient="landscape" w:code="9"/>
          <w:pgMar w:top="1588" w:right="2098" w:bottom="1588" w:left="1985" w:header="851" w:footer="992" w:gutter="0"/>
          <w:pgNumType w:fmt="numberInDash"/>
          <w:cols w:space="425"/>
          <w:docGrid w:linePitch="312"/>
        </w:sectPr>
      </w:pPr>
    </w:p>
    <w:p w:rsidR="00C25778" w:rsidRPr="00C25778" w:rsidRDefault="00C25778" w:rsidP="00C25778">
      <w:pPr>
        <w:spacing w:line="360" w:lineRule="auto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C25778">
        <w:rPr>
          <w:rFonts w:ascii="楷体" w:eastAsia="楷体" w:hAnsi="楷体" w:hint="eastAsia"/>
          <w:b/>
          <w:color w:val="000000" w:themeColor="text1"/>
          <w:sz w:val="32"/>
          <w:szCs w:val="32"/>
        </w:rPr>
        <w:lastRenderedPageBreak/>
        <w:t>（二）人均收结案情况</w:t>
      </w:r>
    </w:p>
    <w:p w:rsidR="001664CE" w:rsidRPr="00404FEB" w:rsidRDefault="001664CE" w:rsidP="001664CE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全市法院共有员额法官</w:t>
      </w:r>
      <w:r w:rsidR="00404FEB" w:rsidRPr="00404FEB">
        <w:rPr>
          <w:rFonts w:ascii="仿宋_GB2312" w:eastAsia="仿宋_GB2312" w:hint="eastAsia"/>
          <w:color w:val="000000" w:themeColor="text1"/>
          <w:sz w:val="32"/>
          <w:szCs w:val="32"/>
        </w:rPr>
        <w:t>612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人，人均受理案件</w:t>
      </w:r>
      <w:r w:rsidR="00404FEB">
        <w:rPr>
          <w:rFonts w:ascii="仿宋_GB2312" w:eastAsia="仿宋_GB2312" w:hint="eastAsia"/>
          <w:color w:val="000000" w:themeColor="text1"/>
          <w:sz w:val="32"/>
          <w:szCs w:val="32"/>
        </w:rPr>
        <w:t>163.86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件，高于全省法院人均受理案件数（</w:t>
      </w:r>
      <w:r w:rsidR="00404FEB">
        <w:rPr>
          <w:rFonts w:ascii="仿宋_GB2312" w:eastAsia="仿宋_GB2312" w:hint="eastAsia"/>
          <w:color w:val="000000" w:themeColor="text1"/>
          <w:sz w:val="32"/>
          <w:szCs w:val="32"/>
        </w:rPr>
        <w:t>127.15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件）</w:t>
      </w:r>
      <w:r w:rsidR="00404FEB">
        <w:rPr>
          <w:rFonts w:ascii="仿宋_GB2312" w:eastAsia="仿宋_GB2312" w:hint="eastAsia"/>
          <w:color w:val="000000" w:themeColor="text1"/>
          <w:sz w:val="32"/>
          <w:szCs w:val="32"/>
        </w:rPr>
        <w:t>36.71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件，居于全省法院第2</w:t>
      </w:r>
      <w:r w:rsidR="001C7078">
        <w:rPr>
          <w:rFonts w:ascii="仿宋_GB2312" w:eastAsia="仿宋_GB2312" w:hint="eastAsia"/>
          <w:color w:val="000000" w:themeColor="text1"/>
          <w:sz w:val="32"/>
          <w:szCs w:val="32"/>
        </w:rPr>
        <w:t>位。人均结案</w:t>
      </w:r>
      <w:r w:rsidR="00404FEB">
        <w:rPr>
          <w:rFonts w:ascii="仿宋_GB2312" w:eastAsia="仿宋_GB2312" w:hint="eastAsia"/>
          <w:color w:val="000000" w:themeColor="text1"/>
          <w:sz w:val="32"/>
          <w:szCs w:val="32"/>
        </w:rPr>
        <w:t>127.57</w:t>
      </w:r>
      <w:r w:rsidR="001C7078">
        <w:rPr>
          <w:rFonts w:ascii="仿宋_GB2312" w:eastAsia="仿宋_GB2312" w:hint="eastAsia"/>
          <w:color w:val="000000" w:themeColor="text1"/>
          <w:sz w:val="32"/>
          <w:szCs w:val="32"/>
        </w:rPr>
        <w:t>件，高于全省法院人均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结案数（</w:t>
      </w:r>
      <w:r w:rsidR="00404FEB">
        <w:rPr>
          <w:rFonts w:ascii="仿宋_GB2312" w:eastAsia="仿宋_GB2312" w:hint="eastAsia"/>
          <w:color w:val="000000" w:themeColor="text1"/>
          <w:sz w:val="32"/>
          <w:szCs w:val="32"/>
        </w:rPr>
        <w:t>99.66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件）</w:t>
      </w:r>
      <w:r w:rsidR="00404FEB">
        <w:rPr>
          <w:rFonts w:ascii="仿宋_GB2312" w:eastAsia="仿宋_GB2312" w:hint="eastAsia"/>
          <w:color w:val="000000" w:themeColor="text1"/>
          <w:sz w:val="32"/>
          <w:szCs w:val="32"/>
        </w:rPr>
        <w:t>27.91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件，居于全省法院第2位。市中院共有员额法官</w:t>
      </w:r>
      <w:r w:rsidR="00404FEB">
        <w:rPr>
          <w:rFonts w:ascii="仿宋_GB2312" w:eastAsia="仿宋_GB2312" w:hint="eastAsia"/>
          <w:color w:val="000000" w:themeColor="text1"/>
          <w:sz w:val="32"/>
          <w:szCs w:val="32"/>
        </w:rPr>
        <w:t>107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人，人均受理案件</w:t>
      </w:r>
      <w:r w:rsidR="00404FEB">
        <w:rPr>
          <w:rFonts w:ascii="仿宋_GB2312" w:eastAsia="仿宋_GB2312" w:hint="eastAsia"/>
          <w:color w:val="000000" w:themeColor="text1"/>
          <w:sz w:val="32"/>
          <w:szCs w:val="32"/>
        </w:rPr>
        <w:t>118.26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件，人均结案</w:t>
      </w:r>
      <w:r w:rsidR="00404FEB">
        <w:rPr>
          <w:rFonts w:ascii="仿宋_GB2312" w:eastAsia="仿宋_GB2312" w:hint="eastAsia"/>
          <w:color w:val="000000" w:themeColor="text1"/>
          <w:sz w:val="32"/>
          <w:szCs w:val="32"/>
        </w:rPr>
        <w:t>93.35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件，人均收结案件数居于全省</w:t>
      </w:r>
      <w:r w:rsidR="00404FEB">
        <w:rPr>
          <w:rFonts w:ascii="仿宋_GB2312" w:eastAsia="仿宋_GB2312" w:hint="eastAsia"/>
          <w:color w:val="000000" w:themeColor="text1"/>
          <w:sz w:val="32"/>
          <w:szCs w:val="32"/>
        </w:rPr>
        <w:t>中级法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院</w:t>
      </w:r>
      <w:r w:rsidRPr="00404FEB">
        <w:rPr>
          <w:rFonts w:ascii="仿宋_GB2312" w:eastAsia="仿宋_GB2312" w:hint="eastAsia"/>
          <w:sz w:val="32"/>
          <w:szCs w:val="32"/>
        </w:rPr>
        <w:t>第1位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1664CE" w:rsidRDefault="001664CE" w:rsidP="001664CE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  <w:sectPr w:rsidR="001664CE" w:rsidSect="00E55643">
          <w:pgSz w:w="11906" w:h="16838" w:code="9"/>
          <w:pgMar w:top="2098" w:right="1588" w:bottom="1985" w:left="1588" w:header="851" w:footer="992" w:gutter="0"/>
          <w:pgNumType w:fmt="numberInDash"/>
          <w:cols w:space="425"/>
          <w:docGrid w:linePitch="312"/>
        </w:sectPr>
      </w:pPr>
      <w:r w:rsidRPr="00404FEB">
        <w:rPr>
          <w:rFonts w:ascii="仿宋_GB2312" w:eastAsia="仿宋_GB2312" w:hint="eastAsia"/>
          <w:sz w:val="32"/>
          <w:szCs w:val="32"/>
        </w:rPr>
        <w:t>各基层法院中，人均受理案件数居于前3位的法院为：经开法院</w:t>
      </w:r>
      <w:r w:rsidR="00404FEB">
        <w:rPr>
          <w:rFonts w:ascii="仿宋_GB2312" w:eastAsia="仿宋_GB2312" w:hint="eastAsia"/>
          <w:sz w:val="32"/>
          <w:szCs w:val="32"/>
        </w:rPr>
        <w:t>291.25</w:t>
      </w:r>
      <w:r w:rsidRPr="00404FEB">
        <w:rPr>
          <w:rFonts w:ascii="仿宋_GB2312" w:eastAsia="仿宋_GB2312" w:hint="eastAsia"/>
          <w:sz w:val="32"/>
          <w:szCs w:val="32"/>
        </w:rPr>
        <w:t>件、</w:t>
      </w:r>
      <w:r w:rsidR="00404FEB" w:rsidRPr="00404FEB">
        <w:rPr>
          <w:rFonts w:ascii="仿宋_GB2312" w:eastAsia="仿宋_GB2312" w:hint="eastAsia"/>
          <w:sz w:val="32"/>
          <w:szCs w:val="32"/>
        </w:rPr>
        <w:t>九台法院</w:t>
      </w:r>
      <w:r w:rsidR="00404FEB">
        <w:rPr>
          <w:rFonts w:ascii="仿宋_GB2312" w:eastAsia="仿宋_GB2312" w:hint="eastAsia"/>
          <w:sz w:val="32"/>
          <w:szCs w:val="32"/>
        </w:rPr>
        <w:t>219.49</w:t>
      </w:r>
      <w:r w:rsidR="00404FEB" w:rsidRPr="00404FEB">
        <w:rPr>
          <w:rFonts w:ascii="仿宋_GB2312" w:eastAsia="仿宋_GB2312" w:hint="eastAsia"/>
          <w:sz w:val="32"/>
          <w:szCs w:val="32"/>
        </w:rPr>
        <w:t>件</w:t>
      </w:r>
      <w:r w:rsidR="00404FEB">
        <w:rPr>
          <w:rFonts w:ascii="仿宋_GB2312" w:eastAsia="仿宋_GB2312" w:hint="eastAsia"/>
          <w:sz w:val="32"/>
          <w:szCs w:val="32"/>
        </w:rPr>
        <w:t>、</w:t>
      </w:r>
      <w:r w:rsidRPr="00404FEB">
        <w:rPr>
          <w:rFonts w:ascii="仿宋_GB2312" w:eastAsia="仿宋_GB2312" w:hint="eastAsia"/>
          <w:sz w:val="32"/>
          <w:szCs w:val="32"/>
        </w:rPr>
        <w:t>高新法院</w:t>
      </w:r>
      <w:r w:rsidR="00404FEB">
        <w:rPr>
          <w:rFonts w:ascii="仿宋_GB2312" w:eastAsia="仿宋_GB2312" w:hint="eastAsia"/>
          <w:sz w:val="32"/>
          <w:szCs w:val="32"/>
        </w:rPr>
        <w:t>216.11件</w:t>
      </w:r>
      <w:r w:rsidRPr="00404FEB">
        <w:rPr>
          <w:rFonts w:ascii="仿宋_GB2312" w:eastAsia="仿宋_GB2312" w:hint="eastAsia"/>
          <w:sz w:val="32"/>
          <w:szCs w:val="32"/>
        </w:rPr>
        <w:t>；人均结案数居于前3位的法院为：经开法院</w:t>
      </w:r>
      <w:r w:rsidR="00404FEB">
        <w:rPr>
          <w:rFonts w:ascii="仿宋_GB2312" w:eastAsia="仿宋_GB2312" w:hint="eastAsia"/>
          <w:sz w:val="32"/>
          <w:szCs w:val="32"/>
        </w:rPr>
        <w:t>215.90</w:t>
      </w:r>
      <w:r w:rsidRPr="00404FEB">
        <w:rPr>
          <w:rFonts w:ascii="仿宋_GB2312" w:eastAsia="仿宋_GB2312" w:hint="eastAsia"/>
          <w:sz w:val="32"/>
          <w:szCs w:val="32"/>
        </w:rPr>
        <w:t>件、高新法院</w:t>
      </w:r>
      <w:r w:rsidR="00404FEB">
        <w:rPr>
          <w:rFonts w:ascii="仿宋_GB2312" w:eastAsia="仿宋_GB2312" w:hint="eastAsia"/>
          <w:sz w:val="32"/>
          <w:szCs w:val="32"/>
        </w:rPr>
        <w:t>175.06</w:t>
      </w:r>
      <w:r w:rsidRPr="00404FEB">
        <w:rPr>
          <w:rFonts w:ascii="仿宋_GB2312" w:eastAsia="仿宋_GB2312" w:hint="eastAsia"/>
          <w:sz w:val="32"/>
          <w:szCs w:val="32"/>
        </w:rPr>
        <w:t>件、九台法院</w:t>
      </w:r>
      <w:r w:rsidR="00404FEB">
        <w:rPr>
          <w:rFonts w:ascii="仿宋_GB2312" w:eastAsia="仿宋_GB2312" w:hint="eastAsia"/>
          <w:sz w:val="32"/>
          <w:szCs w:val="32"/>
        </w:rPr>
        <w:t>167.05</w:t>
      </w:r>
      <w:r w:rsidRPr="00404FEB">
        <w:rPr>
          <w:rFonts w:ascii="仿宋_GB2312" w:eastAsia="仿宋_GB2312" w:hint="eastAsia"/>
          <w:sz w:val="32"/>
          <w:szCs w:val="32"/>
        </w:rPr>
        <w:t>件。人均受理案件数居于后3位的法院为：</w:t>
      </w:r>
      <w:r w:rsidR="00404FEB">
        <w:rPr>
          <w:rFonts w:ascii="仿宋_GB2312" w:eastAsia="仿宋_GB2312" w:hint="eastAsia"/>
          <w:sz w:val="32"/>
          <w:szCs w:val="32"/>
        </w:rPr>
        <w:t>农安</w:t>
      </w:r>
      <w:r w:rsidRPr="00404FEB">
        <w:rPr>
          <w:rFonts w:ascii="仿宋_GB2312" w:eastAsia="仿宋_GB2312" w:hint="eastAsia"/>
          <w:sz w:val="32"/>
          <w:szCs w:val="32"/>
        </w:rPr>
        <w:t>法院</w:t>
      </w:r>
      <w:r w:rsidR="00404FEB">
        <w:rPr>
          <w:rFonts w:ascii="仿宋_GB2312" w:eastAsia="仿宋_GB2312" w:hint="eastAsia"/>
          <w:sz w:val="32"/>
          <w:szCs w:val="32"/>
        </w:rPr>
        <w:t>144.88</w:t>
      </w:r>
      <w:r w:rsidRPr="00404FEB">
        <w:rPr>
          <w:rFonts w:ascii="仿宋_GB2312" w:eastAsia="仿宋_GB2312" w:hint="eastAsia"/>
          <w:sz w:val="32"/>
          <w:szCs w:val="32"/>
        </w:rPr>
        <w:t>件、</w:t>
      </w:r>
      <w:r w:rsidR="00404FEB" w:rsidRPr="00404FEB">
        <w:rPr>
          <w:rFonts w:ascii="仿宋_GB2312" w:eastAsia="仿宋_GB2312" w:hint="eastAsia"/>
          <w:sz w:val="32"/>
          <w:szCs w:val="32"/>
        </w:rPr>
        <w:t>汽开法院</w:t>
      </w:r>
      <w:r w:rsidR="00404FEB">
        <w:rPr>
          <w:rFonts w:ascii="仿宋_GB2312" w:eastAsia="仿宋_GB2312" w:hint="eastAsia"/>
          <w:sz w:val="32"/>
          <w:szCs w:val="32"/>
        </w:rPr>
        <w:t>132.13</w:t>
      </w:r>
      <w:r w:rsidR="00404FEB" w:rsidRPr="00404FEB">
        <w:rPr>
          <w:rFonts w:ascii="仿宋_GB2312" w:eastAsia="仿宋_GB2312" w:hint="eastAsia"/>
          <w:sz w:val="32"/>
          <w:szCs w:val="32"/>
        </w:rPr>
        <w:t>件</w:t>
      </w:r>
      <w:r w:rsidR="00404FEB">
        <w:rPr>
          <w:rFonts w:ascii="仿宋_GB2312" w:eastAsia="仿宋_GB2312" w:hint="eastAsia"/>
          <w:sz w:val="32"/>
          <w:szCs w:val="32"/>
        </w:rPr>
        <w:t>、</w:t>
      </w:r>
      <w:r w:rsidRPr="00404FEB">
        <w:rPr>
          <w:rFonts w:ascii="仿宋_GB2312" w:eastAsia="仿宋_GB2312" w:hint="eastAsia"/>
          <w:sz w:val="32"/>
          <w:szCs w:val="32"/>
        </w:rPr>
        <w:t>二道法院</w:t>
      </w:r>
      <w:r w:rsidR="00404FEB">
        <w:rPr>
          <w:rFonts w:ascii="仿宋_GB2312" w:eastAsia="仿宋_GB2312" w:hint="eastAsia"/>
          <w:sz w:val="32"/>
          <w:szCs w:val="32"/>
        </w:rPr>
        <w:t>124.03件</w:t>
      </w:r>
      <w:r w:rsidRPr="00404FEB">
        <w:rPr>
          <w:rFonts w:ascii="仿宋_GB2312" w:eastAsia="仿宋_GB2312" w:hint="eastAsia"/>
          <w:sz w:val="32"/>
          <w:szCs w:val="32"/>
        </w:rPr>
        <w:t>；人均结案数居于</w:t>
      </w:r>
      <w:r w:rsidR="00404FEB" w:rsidRPr="00404FEB">
        <w:rPr>
          <w:rFonts w:ascii="仿宋_GB2312" w:eastAsia="仿宋_GB2312" w:hint="eastAsia"/>
          <w:sz w:val="32"/>
          <w:szCs w:val="32"/>
        </w:rPr>
        <w:t>后</w:t>
      </w:r>
      <w:r w:rsidRPr="00404FEB">
        <w:rPr>
          <w:rFonts w:ascii="仿宋_GB2312" w:eastAsia="仿宋_GB2312" w:hint="eastAsia"/>
          <w:sz w:val="32"/>
          <w:szCs w:val="32"/>
        </w:rPr>
        <w:t>3位的法院为：净月法院</w:t>
      </w:r>
      <w:r w:rsidR="00404FEB">
        <w:rPr>
          <w:rFonts w:ascii="仿宋_GB2312" w:eastAsia="仿宋_GB2312" w:hint="eastAsia"/>
          <w:sz w:val="32"/>
          <w:szCs w:val="32"/>
        </w:rPr>
        <w:t>117.93</w:t>
      </w:r>
      <w:r w:rsidRPr="00404FEB">
        <w:rPr>
          <w:rFonts w:ascii="仿宋_GB2312" w:eastAsia="仿宋_GB2312" w:hint="eastAsia"/>
          <w:sz w:val="32"/>
          <w:szCs w:val="32"/>
        </w:rPr>
        <w:t>件、二道法院</w:t>
      </w:r>
      <w:r w:rsidR="00404FEB">
        <w:rPr>
          <w:rFonts w:ascii="仿宋_GB2312" w:eastAsia="仿宋_GB2312" w:hint="eastAsia"/>
          <w:sz w:val="32"/>
          <w:szCs w:val="32"/>
        </w:rPr>
        <w:t>96.40</w:t>
      </w:r>
      <w:r w:rsidRPr="00404FEB">
        <w:rPr>
          <w:rFonts w:ascii="仿宋_GB2312" w:eastAsia="仿宋_GB2312" w:hint="eastAsia"/>
          <w:sz w:val="32"/>
          <w:szCs w:val="32"/>
        </w:rPr>
        <w:t>件、汽开法院</w:t>
      </w:r>
      <w:r w:rsidR="00404FEB">
        <w:rPr>
          <w:rFonts w:ascii="仿宋_GB2312" w:eastAsia="仿宋_GB2312" w:hint="eastAsia"/>
          <w:sz w:val="32"/>
          <w:szCs w:val="32"/>
        </w:rPr>
        <w:t>90.31</w:t>
      </w:r>
      <w:r w:rsidRPr="00404FEB">
        <w:rPr>
          <w:rFonts w:ascii="仿宋_GB2312" w:eastAsia="仿宋_GB2312" w:hint="eastAsia"/>
          <w:sz w:val="32"/>
          <w:szCs w:val="32"/>
        </w:rPr>
        <w:t>件。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基层法院中人均受理案件数最高与最低相比，相差达到</w:t>
      </w:r>
      <w:r w:rsidR="00843A3B">
        <w:rPr>
          <w:rFonts w:ascii="仿宋_GB2312" w:eastAsia="仿宋_GB2312" w:hint="eastAsia"/>
          <w:color w:val="000000" w:themeColor="text1"/>
          <w:sz w:val="32"/>
          <w:szCs w:val="32"/>
        </w:rPr>
        <w:t>167.22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件。人均结案数最多与最少相比，相差达到</w:t>
      </w:r>
      <w:r w:rsidR="00843A3B">
        <w:rPr>
          <w:rFonts w:ascii="仿宋_GB2312" w:eastAsia="仿宋_GB2312" w:hint="eastAsia"/>
          <w:color w:val="000000" w:themeColor="text1"/>
          <w:sz w:val="32"/>
          <w:szCs w:val="32"/>
        </w:rPr>
        <w:t>125.59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件。</w:t>
      </w:r>
      <w:r w:rsidR="00843A3B">
        <w:rPr>
          <w:rFonts w:ascii="仿宋_GB2312" w:eastAsia="仿宋_GB2312" w:hint="eastAsia"/>
          <w:color w:val="000000" w:themeColor="text1"/>
          <w:sz w:val="32"/>
          <w:szCs w:val="32"/>
        </w:rPr>
        <w:t>各院人均受案数高低分布与人均结案数高低分布基本一一对应</w:t>
      </w:r>
      <w:r w:rsidR="002046AC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t>从各院呈报的条线办案标兵结案数量看，各院办案标兵结案数明显呈梯次分布，最高值与最低值相比差异巨大。虽然有的基层法院法官民事、刑事、行政交叉办案、办理系列案件等因素，但从中反映</w:t>
      </w:r>
      <w:r w:rsidRPr="00404FEB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出各基层法院之间人案配比不均衡的问题非常突出，</w:t>
      </w:r>
      <w:r w:rsidR="002046AC">
        <w:rPr>
          <w:rFonts w:ascii="仿宋_GB2312" w:eastAsia="仿宋_GB2312" w:hint="eastAsia"/>
          <w:color w:val="000000" w:themeColor="text1"/>
          <w:sz w:val="32"/>
          <w:szCs w:val="32"/>
        </w:rPr>
        <w:t>同时法官个人办案能力差异较大。各院应进一步优化资源配置，合理调配办案人员，充分调度办案积极性，提升办案效率。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1664CE" w:rsidRPr="00C00287" w:rsidRDefault="001664CE" w:rsidP="001664CE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W w:w="8600" w:type="dxa"/>
        <w:tblInd w:w="96" w:type="dxa"/>
        <w:tblLook w:val="04A0"/>
      </w:tblPr>
      <w:tblGrid>
        <w:gridCol w:w="1720"/>
        <w:gridCol w:w="1720"/>
        <w:gridCol w:w="1720"/>
        <w:gridCol w:w="1720"/>
        <w:gridCol w:w="1720"/>
      </w:tblGrid>
      <w:tr w:rsidR="00D74941" w:rsidRPr="00D74941" w:rsidTr="00D74941">
        <w:trPr>
          <w:trHeight w:val="600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宋体" w:eastAsia="宋体" w:hAnsi="宋体" w:cs="Arial"/>
                <w:kern w:val="0"/>
                <w:sz w:val="36"/>
                <w:szCs w:val="36"/>
              </w:rPr>
            </w:pPr>
            <w:r w:rsidRPr="00D74941">
              <w:rPr>
                <w:rFonts w:ascii="宋体" w:eastAsia="宋体" w:hAnsi="宋体" w:cs="Arial" w:hint="eastAsia"/>
                <w:kern w:val="0"/>
                <w:sz w:val="36"/>
                <w:szCs w:val="36"/>
              </w:rPr>
              <w:t>各庭室结案标兵统计表</w:t>
            </w:r>
          </w:p>
        </w:tc>
      </w:tr>
      <w:tr w:rsidR="00D74941" w:rsidRPr="00D74941" w:rsidTr="00D74941">
        <w:trPr>
          <w:trHeight w:val="300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7494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2018.1.1-2018.9.30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</w:p>
        </w:tc>
      </w:tr>
      <w:tr w:rsidR="00D74941" w:rsidRPr="00D74941" w:rsidTr="00D74941">
        <w:trPr>
          <w:trHeight w:val="4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受理案件数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结案总数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结案率</w:t>
            </w:r>
          </w:p>
        </w:tc>
      </w:tr>
      <w:tr w:rsidR="00D74941" w:rsidRPr="00D74941" w:rsidTr="00D74941">
        <w:trPr>
          <w:trHeight w:val="4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立案一庭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孙明歧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98.44 </w:t>
            </w:r>
          </w:p>
        </w:tc>
      </w:tr>
      <w:tr w:rsidR="00D74941" w:rsidRPr="00D74941" w:rsidTr="00D74941">
        <w:trPr>
          <w:trHeight w:val="4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刑一庭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董文博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72.00 </w:t>
            </w:r>
          </w:p>
        </w:tc>
      </w:tr>
      <w:tr w:rsidR="00D74941" w:rsidRPr="00D74941" w:rsidTr="00D74941">
        <w:trPr>
          <w:trHeight w:val="4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刑二庭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石泉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92.31 </w:t>
            </w:r>
          </w:p>
        </w:tc>
      </w:tr>
      <w:tr w:rsidR="00D74941" w:rsidRPr="00D74941" w:rsidTr="00D74941">
        <w:trPr>
          <w:trHeight w:val="4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行政庭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高婧明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53.96 </w:t>
            </w:r>
          </w:p>
        </w:tc>
      </w:tr>
      <w:tr w:rsidR="00D74941" w:rsidRPr="00D74941" w:rsidTr="00D74941">
        <w:trPr>
          <w:trHeight w:val="4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民一庭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张新华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80.21 </w:t>
            </w:r>
          </w:p>
        </w:tc>
      </w:tr>
      <w:tr w:rsidR="00D74941" w:rsidRPr="00D74941" w:rsidTr="00D74941">
        <w:trPr>
          <w:trHeight w:val="4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民二庭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曾范军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64.35 </w:t>
            </w:r>
          </w:p>
        </w:tc>
      </w:tr>
      <w:tr w:rsidR="00D74941" w:rsidRPr="00D74941" w:rsidTr="00D74941">
        <w:trPr>
          <w:trHeight w:val="4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民三庭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孙召银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52.00 </w:t>
            </w:r>
          </w:p>
        </w:tc>
      </w:tr>
      <w:tr w:rsidR="00D74941" w:rsidRPr="00D74941" w:rsidTr="00D74941">
        <w:trPr>
          <w:trHeight w:val="4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民四庭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白业春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65.70 </w:t>
            </w:r>
          </w:p>
        </w:tc>
      </w:tr>
      <w:tr w:rsidR="00D74941" w:rsidRPr="00D74941" w:rsidTr="00D74941">
        <w:trPr>
          <w:trHeight w:val="4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民五庭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赵芳芳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67.12 </w:t>
            </w:r>
          </w:p>
        </w:tc>
      </w:tr>
      <w:tr w:rsidR="00D74941" w:rsidRPr="00D74941" w:rsidTr="00D74941">
        <w:trPr>
          <w:trHeight w:val="4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审监一庭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沈伟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98.97 </w:t>
            </w:r>
          </w:p>
        </w:tc>
      </w:tr>
      <w:tr w:rsidR="00D74941" w:rsidRPr="00D74941" w:rsidTr="00D74941">
        <w:trPr>
          <w:trHeight w:val="4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审监二庭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周立新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941" w:rsidRPr="00D74941" w:rsidRDefault="00D74941" w:rsidP="00D74941">
            <w:pPr>
              <w:widowControl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D7494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 xml:space="preserve">73.27 </w:t>
            </w:r>
          </w:p>
        </w:tc>
      </w:tr>
    </w:tbl>
    <w:p w:rsidR="001664CE" w:rsidRDefault="001664CE" w:rsidP="001664CE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1664CE" w:rsidRDefault="001664CE" w:rsidP="001664CE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br w:type="page"/>
      </w:r>
    </w:p>
    <w:p w:rsidR="001664CE" w:rsidRDefault="001664CE" w:rsidP="001664CE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  <w:sectPr w:rsidR="001664CE" w:rsidSect="00E55643">
          <w:pgSz w:w="16838" w:h="11906" w:orient="landscape" w:code="9"/>
          <w:pgMar w:top="1588" w:right="2098" w:bottom="1588" w:left="1985" w:header="851" w:footer="992" w:gutter="0"/>
          <w:pgNumType w:fmt="numberInDash"/>
          <w:cols w:space="425"/>
          <w:docGrid w:linePitch="312"/>
        </w:sectPr>
      </w:pPr>
    </w:p>
    <w:p w:rsidR="001664CE" w:rsidRPr="00D949E9" w:rsidRDefault="001664CE" w:rsidP="001664CE">
      <w:pPr>
        <w:spacing w:line="360" w:lineRule="auto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949E9"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 xml:space="preserve">二、诉讼案件法定（正常）审限内结案率 </w:t>
      </w:r>
    </w:p>
    <w:p w:rsidR="001664CE" w:rsidRPr="00D949E9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</w:t>
      </w:r>
      <w:r w:rsidR="00E5564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月，全市法院诉讼案件法定（正常）审限内结案率为</w:t>
      </w:r>
      <w:r w:rsidR="00E5564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99.63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，优于省法院目标责任制考核确定的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96%的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指标。基层法院中，</w:t>
      </w:r>
      <w:r w:rsidR="00E5564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九台法院、德惠法院、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宽城法院、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绿园法院、南关法院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、双阳法院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该项指标已达到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100%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1664CE" w:rsidRPr="00D949E9" w:rsidRDefault="001664CE" w:rsidP="00E55643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市中院法定（正常）审限内结案率为</w:t>
      </w:r>
      <w:r w:rsidR="00E5564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98.8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，其中</w:t>
      </w:r>
      <w:r w:rsidR="00E5564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院长、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民三庭、立案一庭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已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达到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100%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1664CE" w:rsidRPr="00D949E9" w:rsidRDefault="001664CE" w:rsidP="001664CE">
      <w:pPr>
        <w:spacing w:line="360" w:lineRule="auto"/>
        <w:ind w:firstLineChars="246" w:firstLine="787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949E9"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三、长期未结诉讼案件情况 </w:t>
      </w:r>
    </w:p>
    <w:p w:rsidR="001664CE" w:rsidRPr="0005144F" w:rsidRDefault="001664CE" w:rsidP="001664CE">
      <w:pPr>
        <w:spacing w:line="360" w:lineRule="auto"/>
        <w:ind w:firstLine="630"/>
        <w:rPr>
          <w:rFonts w:ascii="楷体_GB2312" w:eastAsia="楷体_GB2312" w:hAnsi="宋体" w:cs="宋体"/>
          <w:color w:val="000000" w:themeColor="text1"/>
          <w:sz w:val="32"/>
          <w:szCs w:val="32"/>
        </w:rPr>
      </w:pPr>
      <w:r w:rsidRPr="0005144F">
        <w:rPr>
          <w:rFonts w:ascii="楷体_GB2312" w:eastAsia="楷体_GB2312" w:hAnsi="宋体" w:cs="宋体" w:hint="eastAsia"/>
          <w:color w:val="000000" w:themeColor="text1"/>
          <w:sz w:val="32"/>
          <w:szCs w:val="32"/>
        </w:rPr>
        <w:t>（一）1-2年未结诉讼案件情况</w:t>
      </w:r>
    </w:p>
    <w:p w:rsidR="001664CE" w:rsidRPr="00D949E9" w:rsidRDefault="001664CE" w:rsidP="001664CE">
      <w:pPr>
        <w:spacing w:line="360" w:lineRule="auto"/>
        <w:ind w:firstLineChars="246" w:firstLine="787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按照省高院考核标准，超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年不满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年的未结诉讼案件占比不得超过本院受理案件数的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。按照这一标准，我市法院该项指标允许值为不超过</w:t>
      </w:r>
      <w:r w:rsidR="00E55643">
        <w:rPr>
          <w:rFonts w:ascii="仿宋_GB2312" w:eastAsia="仿宋_GB2312" w:hAnsi="仿宋_GB2312" w:cs="仿宋_GB2312" w:hint="eastAsia"/>
          <w:sz w:val="32"/>
          <w:szCs w:val="32"/>
        </w:rPr>
        <w:t>1362.66</w:t>
      </w:r>
      <w:r w:rsidRPr="00CB4FF1">
        <w:rPr>
          <w:rFonts w:ascii="仿宋_GB2312" w:eastAsia="仿宋_GB2312" w:hAnsi="宋体" w:cs="宋体" w:hint="eastAsia"/>
          <w:sz w:val="32"/>
          <w:szCs w:val="32"/>
        </w:rPr>
        <w:t>件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。截止</w:t>
      </w:r>
      <w:r w:rsidR="00E5564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月3</w:t>
      </w:r>
      <w:r w:rsidR="00E5564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0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日，全市法院超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年不满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年的未结诉讼案件有</w:t>
      </w:r>
      <w:r w:rsidR="005F336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320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件，远低于省法院规定指标值。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基层法院共有</w:t>
      </w:r>
      <w:r w:rsidR="005F336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236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其中经开法院</w:t>
      </w:r>
      <w:r w:rsidR="005F336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</w:t>
      </w:r>
      <w:r w:rsidR="005F336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榆树法院41件、九台法院29件、宽城法院25件、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南关法院</w:t>
      </w:r>
      <w:r w:rsidR="005F336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件、朝阳法院</w:t>
      </w:r>
      <w:r w:rsidR="005F336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15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件、绿园法院1</w:t>
      </w:r>
      <w:r w:rsidR="005F336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</w:t>
      </w:r>
      <w:r w:rsidR="005F336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农安法院8件、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德惠法院</w:t>
      </w:r>
      <w:r w:rsidR="002B3EB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件、汽开法院</w:t>
      </w:r>
      <w:r w:rsidR="002B3EB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</w:t>
      </w:r>
      <w:r w:rsidR="002B3EB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二道法院7件、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净月法院4件、</w:t>
      </w:r>
      <w:r w:rsidR="005F336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高新法院</w:t>
      </w:r>
      <w:r w:rsidR="002B3EB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</w:t>
      </w:r>
      <w:r w:rsidR="005F336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双阳法院2件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1664CE" w:rsidRPr="00D949E9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市中院1-2年未结诉讼案件有</w:t>
      </w:r>
      <w:r w:rsidR="002B3EB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84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件，其中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民二庭</w:t>
      </w:r>
      <w:r w:rsidR="002B3EB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件、民一庭16件、</w:t>
      </w:r>
      <w:r w:rsidR="002B3EB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民四庭16件、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民五庭1</w:t>
      </w:r>
      <w:r w:rsidR="002B3EB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件、审监二庭</w:t>
      </w:r>
      <w:r w:rsidR="002B3EB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件、民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三庭3件</w:t>
      </w:r>
      <w:r w:rsidR="002B3EB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、行政庭3件、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刑一庭2</w:t>
      </w:r>
      <w:r w:rsidR="001C5E0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件、院领导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1件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1664CE" w:rsidRPr="0005144F" w:rsidRDefault="001664CE" w:rsidP="001664CE">
      <w:pPr>
        <w:spacing w:line="360" w:lineRule="auto"/>
        <w:ind w:firstLine="630"/>
        <w:rPr>
          <w:rFonts w:ascii="楷体_GB2312" w:eastAsia="楷体_GB2312" w:hAnsi="宋体" w:cs="宋体"/>
          <w:color w:val="000000" w:themeColor="text1"/>
          <w:sz w:val="32"/>
          <w:szCs w:val="32"/>
        </w:rPr>
      </w:pPr>
      <w:r w:rsidRPr="0005144F">
        <w:rPr>
          <w:rFonts w:ascii="楷体_GB2312" w:eastAsia="楷体_GB2312" w:hAnsi="宋体" w:cs="宋体" w:hint="eastAsia"/>
          <w:color w:val="000000" w:themeColor="text1"/>
          <w:sz w:val="32"/>
          <w:szCs w:val="32"/>
        </w:rPr>
        <w:t>（二）2年以上未结诉讼案件情况</w:t>
      </w:r>
    </w:p>
    <w:p w:rsidR="001664CE" w:rsidRPr="00D949E9" w:rsidRDefault="001664CE" w:rsidP="001664CE">
      <w:pPr>
        <w:spacing w:line="360" w:lineRule="auto"/>
        <w:ind w:firstLine="630"/>
        <w:rPr>
          <w:rFonts w:ascii="仿宋_GB2312" w:eastAsia="仿宋_GB2312" w:hAnsi="仿宋_GB2312" w:cs="仿宋_GB2312"/>
          <w:color w:val="000000" w:themeColor="text1"/>
          <w:sz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按照省高院考核标准，超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年的未结诉讼案件占比不得超过本院受理案件数的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</w:rPr>
        <w:t>1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</w:rPr>
        <w:t>‰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，我市法院允许值为不超过</w:t>
      </w:r>
      <w:r w:rsidR="005207FB">
        <w:rPr>
          <w:rFonts w:ascii="仿宋_GB2312" w:eastAsia="仿宋_GB2312" w:hAnsi="仿宋_GB2312" w:cs="仿宋_GB2312" w:hint="eastAsia"/>
          <w:sz w:val="32"/>
          <w:szCs w:val="32"/>
        </w:rPr>
        <w:t>68.133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件。截止</w:t>
      </w:r>
      <w:r w:rsidR="005207F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</w:t>
      </w:r>
      <w:r w:rsidR="005207FB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0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日，全市法院超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年的未结诉讼案件有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 w:rsidR="005207FB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低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于省法院考核指标值。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</w:rPr>
        <w:t>基层法院有</w:t>
      </w:r>
      <w:r>
        <w:rPr>
          <w:rFonts w:ascii="仿宋_GB2312" w:eastAsia="仿宋_GB2312" w:hAnsi="仿宋_GB2312" w:cs="仿宋_GB2312" w:hint="eastAsia"/>
          <w:color w:val="000000" w:themeColor="text1"/>
          <w:sz w:val="32"/>
        </w:rPr>
        <w:t>10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</w:rPr>
        <w:t>件，</w:t>
      </w:r>
      <w:r w:rsidRPr="00F0737F">
        <w:rPr>
          <w:rFonts w:ascii="仿宋_GB2312" w:eastAsia="仿宋_GB2312" w:hAnsi="宋体" w:cs="宋体" w:hint="eastAsia"/>
          <w:color w:val="000000" w:themeColor="text1"/>
          <w:sz w:val="32"/>
        </w:rPr>
        <w:t>其中2年以上不满2.5年的未结诉讼案件有4件，分别为：</w:t>
      </w:r>
      <w:r w:rsidR="000B1603" w:rsidRPr="00F0737F">
        <w:rPr>
          <w:rFonts w:ascii="仿宋_GB2312" w:eastAsia="仿宋_GB2312" w:hAnsi="宋体" w:cs="宋体" w:hint="eastAsia"/>
          <w:color w:val="000000" w:themeColor="text1"/>
          <w:sz w:val="32"/>
        </w:rPr>
        <w:t>朝阳法院</w:t>
      </w:r>
      <w:r w:rsidR="000B1603">
        <w:rPr>
          <w:rFonts w:ascii="仿宋_GB2312" w:eastAsia="仿宋_GB2312" w:hAnsi="宋体" w:cs="宋体" w:hint="eastAsia"/>
          <w:color w:val="000000" w:themeColor="text1"/>
          <w:sz w:val="32"/>
        </w:rPr>
        <w:t>2</w:t>
      </w:r>
      <w:r w:rsidR="000B1603" w:rsidRPr="00F0737F">
        <w:rPr>
          <w:rFonts w:ascii="仿宋_GB2312" w:eastAsia="仿宋_GB2312" w:hAnsi="宋体" w:cs="宋体" w:hint="eastAsia"/>
          <w:color w:val="000000" w:themeColor="text1"/>
          <w:sz w:val="32"/>
        </w:rPr>
        <w:t>件（2016吉0104民初2617号</w:t>
      </w:r>
      <w:r w:rsidR="000B1603">
        <w:rPr>
          <w:rFonts w:ascii="仿宋_GB2312" w:eastAsia="仿宋_GB2312" w:hAnsi="宋体" w:cs="宋体" w:hint="eastAsia"/>
          <w:color w:val="000000" w:themeColor="text1"/>
          <w:sz w:val="32"/>
        </w:rPr>
        <w:t>、</w:t>
      </w:r>
      <w:r w:rsidR="000B1603" w:rsidRPr="00F0737F">
        <w:rPr>
          <w:rFonts w:ascii="仿宋_GB2312" w:eastAsia="仿宋_GB2312" w:hAnsi="宋体" w:cs="宋体" w:hint="eastAsia"/>
          <w:color w:val="000000" w:themeColor="text1"/>
          <w:sz w:val="32"/>
        </w:rPr>
        <w:t>2016吉0104民初</w:t>
      </w:r>
      <w:r w:rsidR="000B1603">
        <w:rPr>
          <w:rFonts w:ascii="仿宋_GB2312" w:eastAsia="仿宋_GB2312" w:hAnsi="宋体" w:cs="宋体" w:hint="eastAsia"/>
          <w:color w:val="000000" w:themeColor="text1"/>
          <w:sz w:val="32"/>
        </w:rPr>
        <w:t>3885</w:t>
      </w:r>
      <w:r w:rsidR="000B1603" w:rsidRPr="00F0737F">
        <w:rPr>
          <w:rFonts w:ascii="仿宋_GB2312" w:eastAsia="仿宋_GB2312" w:hAnsi="宋体" w:cs="宋体" w:hint="eastAsia"/>
          <w:color w:val="000000" w:themeColor="text1"/>
          <w:sz w:val="32"/>
        </w:rPr>
        <w:t>号）、</w:t>
      </w:r>
      <w:r w:rsidRPr="00F0737F">
        <w:rPr>
          <w:rFonts w:ascii="仿宋_GB2312" w:eastAsia="仿宋_GB2312" w:hAnsi="宋体" w:cs="宋体" w:hint="eastAsia"/>
          <w:color w:val="000000" w:themeColor="text1"/>
          <w:sz w:val="32"/>
        </w:rPr>
        <w:t>经开法院</w:t>
      </w:r>
      <w:r w:rsidR="000B1603">
        <w:rPr>
          <w:rFonts w:ascii="仿宋_GB2312" w:eastAsia="仿宋_GB2312" w:hAnsi="宋体" w:cs="宋体" w:hint="eastAsia"/>
          <w:color w:val="000000" w:themeColor="text1"/>
          <w:sz w:val="32"/>
        </w:rPr>
        <w:t>1</w:t>
      </w:r>
      <w:r w:rsidRPr="00F0737F">
        <w:rPr>
          <w:rFonts w:ascii="仿宋_GB2312" w:eastAsia="仿宋_GB2312" w:hAnsi="宋体" w:cs="宋体" w:hint="eastAsia"/>
          <w:color w:val="000000" w:themeColor="text1"/>
          <w:sz w:val="32"/>
        </w:rPr>
        <w:t>件（2016吉0191刑初145号）、</w:t>
      </w:r>
      <w:r w:rsidR="000B1603">
        <w:rPr>
          <w:rFonts w:ascii="仿宋_GB2312" w:eastAsia="仿宋_GB2312" w:hAnsi="宋体" w:cs="宋体" w:hint="eastAsia"/>
          <w:color w:val="000000" w:themeColor="text1"/>
          <w:sz w:val="32"/>
        </w:rPr>
        <w:t>九台</w:t>
      </w:r>
      <w:r w:rsidRPr="00F0737F">
        <w:rPr>
          <w:rFonts w:ascii="仿宋_GB2312" w:eastAsia="仿宋_GB2312" w:hAnsi="宋体" w:cs="宋体" w:hint="eastAsia"/>
          <w:color w:val="000000" w:themeColor="text1"/>
          <w:sz w:val="32"/>
        </w:rPr>
        <w:t>法院1件（2016吉</w:t>
      </w:r>
      <w:r w:rsidR="000B1603">
        <w:rPr>
          <w:rFonts w:ascii="仿宋_GB2312" w:eastAsia="仿宋_GB2312" w:hAnsi="宋体" w:cs="宋体" w:hint="eastAsia"/>
          <w:color w:val="000000" w:themeColor="text1"/>
          <w:sz w:val="32"/>
        </w:rPr>
        <w:t>011</w:t>
      </w:r>
      <w:r w:rsidRPr="00F0737F">
        <w:rPr>
          <w:rFonts w:ascii="仿宋_GB2312" w:eastAsia="仿宋_GB2312" w:hAnsi="宋体" w:cs="宋体" w:hint="eastAsia"/>
          <w:color w:val="000000" w:themeColor="text1"/>
          <w:sz w:val="32"/>
        </w:rPr>
        <w:t>3民初</w:t>
      </w:r>
      <w:r w:rsidR="000B1603">
        <w:rPr>
          <w:rFonts w:ascii="仿宋_GB2312" w:eastAsia="仿宋_GB2312" w:hAnsi="宋体" w:cs="宋体" w:hint="eastAsia"/>
          <w:color w:val="000000" w:themeColor="text1"/>
          <w:sz w:val="32"/>
        </w:rPr>
        <w:t>3128</w:t>
      </w:r>
      <w:r w:rsidRPr="00F0737F">
        <w:rPr>
          <w:rFonts w:ascii="仿宋_GB2312" w:eastAsia="仿宋_GB2312" w:hAnsi="宋体" w:cs="宋体" w:hint="eastAsia"/>
          <w:color w:val="000000" w:themeColor="text1"/>
          <w:sz w:val="32"/>
        </w:rPr>
        <w:t>号）；2.5年以上不满3年的未结诉讼案件有1件，榆树法院1件（2016吉0182民初375号）；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</w:rPr>
        <w:t>3年以上未结诉讼案件有</w:t>
      </w:r>
      <w:r>
        <w:rPr>
          <w:rFonts w:ascii="仿宋_GB2312" w:eastAsia="仿宋_GB2312" w:hAnsi="宋体" w:cs="宋体" w:hint="eastAsia"/>
          <w:color w:val="000000" w:themeColor="text1"/>
          <w:sz w:val="32"/>
        </w:rPr>
        <w:t>5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</w:rPr>
        <w:t>件，</w:t>
      </w:r>
      <w:r>
        <w:rPr>
          <w:rFonts w:ascii="仿宋_GB2312" w:eastAsia="仿宋_GB2312" w:hAnsi="宋体" w:cs="宋体" w:hint="eastAsia"/>
          <w:color w:val="000000" w:themeColor="text1"/>
          <w:sz w:val="32"/>
        </w:rPr>
        <w:t>其中4件破产案件，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</w:rPr>
        <w:t>分别为：经开法院2件</w:t>
      </w:r>
      <w:r>
        <w:rPr>
          <w:rFonts w:ascii="仿宋_GB2312" w:eastAsia="仿宋_GB2312" w:hAnsi="宋体" w:cs="宋体" w:hint="eastAsia"/>
          <w:color w:val="000000" w:themeColor="text1"/>
          <w:sz w:val="32"/>
        </w:rPr>
        <w:t>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</w:rPr>
        <w:t>汽开法院</w:t>
      </w:r>
      <w:r>
        <w:rPr>
          <w:rFonts w:ascii="仿宋_GB2312" w:eastAsia="仿宋_GB2312" w:hAnsi="宋体" w:cs="宋体" w:hint="eastAsia"/>
          <w:color w:val="000000" w:themeColor="text1"/>
          <w:sz w:val="32"/>
        </w:rPr>
        <w:t>1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</w:rPr>
        <w:t>件、净月法院1</w:t>
      </w:r>
      <w:r>
        <w:rPr>
          <w:rFonts w:ascii="仿宋_GB2312" w:eastAsia="仿宋_GB2312" w:hAnsi="宋体" w:cs="宋体" w:hint="eastAsia"/>
          <w:color w:val="000000" w:themeColor="text1"/>
          <w:sz w:val="32"/>
        </w:rPr>
        <w:t>件。绿园法院1件2010年立案的案件至今未结（2010年绿民二初字第00403号）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</w:rPr>
        <w:t>。双阳、</w:t>
      </w:r>
      <w:r>
        <w:rPr>
          <w:rFonts w:ascii="仿宋_GB2312" w:eastAsia="仿宋_GB2312" w:hAnsi="宋体" w:cs="宋体" w:hint="eastAsia"/>
          <w:color w:val="000000" w:themeColor="text1"/>
          <w:sz w:val="32"/>
        </w:rPr>
        <w:t>农安、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</w:rPr>
        <w:t>德惠、二道、</w:t>
      </w:r>
      <w:r>
        <w:rPr>
          <w:rFonts w:ascii="仿宋_GB2312" w:eastAsia="仿宋_GB2312" w:hAnsi="宋体" w:cs="宋体" w:hint="eastAsia"/>
          <w:color w:val="000000" w:themeColor="text1"/>
          <w:sz w:val="32"/>
        </w:rPr>
        <w:t>高新、</w:t>
      </w:r>
      <w:r w:rsidR="000B1603">
        <w:rPr>
          <w:rFonts w:ascii="仿宋_GB2312" w:eastAsia="仿宋_GB2312" w:hAnsi="宋体" w:cs="宋体" w:hint="eastAsia"/>
          <w:color w:val="000000" w:themeColor="text1"/>
          <w:sz w:val="32"/>
        </w:rPr>
        <w:t>宽城</w:t>
      </w:r>
      <w:r>
        <w:rPr>
          <w:rFonts w:ascii="仿宋_GB2312" w:eastAsia="仿宋_GB2312" w:hAnsi="宋体" w:cs="宋体" w:hint="eastAsia"/>
          <w:color w:val="000000" w:themeColor="text1"/>
          <w:sz w:val="32"/>
        </w:rPr>
        <w:t>、南关七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</w:rPr>
        <w:t>家法院2年以上未结诉讼案件已经清零。</w:t>
      </w:r>
    </w:p>
    <w:p w:rsidR="001664CE" w:rsidRDefault="001664CE" w:rsidP="001664CE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市中院2年以上未结诉讼案件</w:t>
      </w:r>
      <w:r w:rsidR="000B160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26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其中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2年以上不满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2.5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年的未结诉讼案件有</w:t>
      </w:r>
      <w:r w:rsidR="000B160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</w:t>
      </w:r>
      <w:r w:rsidR="00893C8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其中1件破产案件，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分别为：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民一庭3件（2016吉01民初805号、2016吉01民初418号、2016吉01民初374号）、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民二庭</w:t>
      </w:r>
      <w:r w:rsidR="00893C8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（2016吉01民初434号</w:t>
      </w:r>
      <w:r w:rsidR="00893C8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、2016吉01民初825号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）</w:t>
      </w:r>
      <w:r w:rsidR="00893C8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、民三庭1件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；2.5年以上不满3年的未结诉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讼案件有</w:t>
      </w:r>
      <w:r w:rsidR="00893C8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1件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：民二庭</w:t>
      </w:r>
      <w:r w:rsidR="00893C8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1件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（2016吉01民初50号）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；3年以上未结诉讼案件有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19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件，均为破产案件。</w:t>
      </w:r>
    </w:p>
    <w:p w:rsidR="001664CE" w:rsidRPr="00D949E9" w:rsidRDefault="001664CE" w:rsidP="001664CE">
      <w:pPr>
        <w:spacing w:line="360" w:lineRule="auto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949E9">
        <w:rPr>
          <w:rFonts w:ascii="黑体" w:eastAsia="黑体" w:hAnsi="黑体" w:cs="黑体" w:hint="eastAsia"/>
          <w:color w:val="000000" w:themeColor="text1"/>
          <w:sz w:val="32"/>
          <w:szCs w:val="32"/>
        </w:rPr>
        <w:t>四、一审案件上诉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被</w:t>
      </w:r>
      <w:r w:rsidRPr="00D949E9">
        <w:rPr>
          <w:rFonts w:ascii="黑体" w:eastAsia="黑体" w:hAnsi="黑体" w:cs="黑体" w:hint="eastAsia"/>
          <w:color w:val="000000" w:themeColor="text1"/>
          <w:sz w:val="32"/>
          <w:szCs w:val="32"/>
        </w:rPr>
        <w:t>改判、发回重审率</w:t>
      </w:r>
    </w:p>
    <w:p w:rsidR="001664CE" w:rsidRPr="00D949E9" w:rsidRDefault="001664CE" w:rsidP="001664CE">
      <w:pPr>
        <w:spacing w:line="360" w:lineRule="auto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一审案件上诉被改判、发回重审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率=（上诉案件被改判数+上诉案件被发回重审数）/一审诉讼案件结案数。</w:t>
      </w:r>
    </w:p>
    <w:p w:rsidR="001664CE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</w:t>
      </w:r>
      <w:r w:rsidR="00893C8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月份，全市法院一审案件上诉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被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改判、发回重审率为</w:t>
      </w:r>
      <w:r w:rsidR="00F95BF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2.31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，符合省法院目标责任制确定的不高于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3%的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指标。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全市法院一审案件被改判、发回重审数为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966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件，其中基层法院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914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件，市中院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52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件。</w:t>
      </w:r>
    </w:p>
    <w:p w:rsidR="001664CE" w:rsidRPr="00D949E9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有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家基层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法院一审案件上诉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被改判、发回重审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率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高于省法院考核指标值，分别为：</w:t>
      </w:r>
      <w:r w:rsidR="006C1B36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净月法院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3.73</w:t>
      </w:r>
      <w:r w:rsidR="006C1B36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汽开法院3.48%、</w:t>
      </w:r>
      <w:r w:rsidR="006C1B36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南关法院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3.34</w:t>
      </w:r>
      <w:r w:rsidR="006C1B36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高新法院3.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27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</w:t>
      </w:r>
      <w:r w:rsidR="006C1B36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经开法院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3.18</w:t>
      </w:r>
      <w:r w:rsidR="006C1B36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二道法院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.1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0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。其他基层法院发改率均符合省法院考核指标。各基层法院一审案件被改判、发回重审数为：朝阳法院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129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件、南关法院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106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件、经开法院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91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件、九台法院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89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件、农安法院</w:t>
      </w:r>
      <w:r w:rsidR="006C1B3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</w:t>
      </w:r>
      <w:r w:rsidR="006F5B4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宽城法院59件、绿园法院58件、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高新法院5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件、二道法院5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件、德惠法院5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件、榆树法院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45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件、净月法院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39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件、双阳法院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30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件、汽开法院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30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件。</w:t>
      </w:r>
    </w:p>
    <w:p w:rsidR="001664CE" w:rsidRPr="000F2866" w:rsidRDefault="001664CE" w:rsidP="000F2866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市中院一审发改率为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7.15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%，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不符合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省院考核值。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高于省法院考核指标值的部门有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：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审监二庭</w:t>
      </w:r>
      <w:r w:rsidR="00BF5A3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100.00%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民二庭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12.14%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民三庭10.00%、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民一庭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8.75%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、民四庭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8.57%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、院长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5.26%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、刑二庭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4.76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%、刑一庭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4.17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</w:t>
      </w:r>
      <w:r w:rsidR="0097354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、行政庭3.75%、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，其他部门发改率均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符合省法院考核要求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市中院各部门一审案件被改判、发回重审数为：民二庭2</w:t>
      </w:r>
      <w:r w:rsidR="00BF5A3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件、民四庭</w:t>
      </w:r>
      <w:r w:rsidR="00BF5A3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件、民一庭</w:t>
      </w:r>
      <w:r w:rsidR="00BF5A3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件、刑一庭</w:t>
      </w:r>
      <w:r w:rsidR="00BF5A3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件、行政庭</w:t>
      </w:r>
      <w:r w:rsidR="00BF5A3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件、民五庭1件、刑二庭1件，民三庭</w:t>
      </w:r>
      <w:r w:rsidR="00BF5A3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1件、审监二庭1件</w:t>
      </w:r>
      <w:r w:rsidR="001C5E0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立案一庭没有被发改案件。</w:t>
      </w:r>
    </w:p>
    <w:p w:rsidR="001664CE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E735A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市中院</w:t>
      </w:r>
      <w:r w:rsidR="0003312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经</w:t>
      </w:r>
      <w:r w:rsidRPr="00E735A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对两级法院一审案件</w:t>
      </w:r>
      <w:r w:rsidR="0003312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被</w:t>
      </w:r>
      <w:r w:rsidRPr="00E735A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发改原因进行调研，因</w:t>
      </w:r>
      <w:r w:rsidR="00E735AC" w:rsidRPr="00E735A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原判认定事实正确但适用法律错误被发改案件166件</w:t>
      </w:r>
      <w:r w:rsidRPr="00E735A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，因</w:t>
      </w:r>
      <w:r w:rsidR="00E735AC" w:rsidRPr="00E735A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认定事实错误被发改案件154件</w:t>
      </w:r>
      <w:r w:rsidRPr="00E735A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，因事实不清证据不足被发改案件</w:t>
      </w:r>
      <w:r w:rsidR="00E735AC" w:rsidRPr="00E735A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121</w:t>
      </w:r>
      <w:r w:rsidRPr="00E735A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件。以上3类原因被发改案件占据被发改案件总数的45.</w:t>
      </w:r>
      <w:r w:rsidR="00E735AC" w:rsidRPr="00E735A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65</w:t>
      </w:r>
      <w:r w:rsidRPr="00E735A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%。其他类型属于因当事人提交新证据、二审调解、信访维稳等考量予以发改的情形。</w:t>
      </w:r>
    </w:p>
    <w:p w:rsidR="001664CE" w:rsidRPr="00D949E9" w:rsidRDefault="001664CE" w:rsidP="001664CE">
      <w:pPr>
        <w:spacing w:line="360" w:lineRule="auto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949E9">
        <w:rPr>
          <w:rFonts w:ascii="黑体" w:eastAsia="黑体" w:hAnsi="黑体" w:cs="黑体" w:hint="eastAsia"/>
          <w:color w:val="000000" w:themeColor="text1"/>
          <w:sz w:val="32"/>
          <w:szCs w:val="32"/>
        </w:rPr>
        <w:t>五、生效案件再审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被</w:t>
      </w:r>
      <w:r w:rsidRPr="00D949E9">
        <w:rPr>
          <w:rFonts w:ascii="黑体" w:eastAsia="黑体" w:hAnsi="黑体" w:cs="黑体" w:hint="eastAsia"/>
          <w:color w:val="000000" w:themeColor="text1"/>
          <w:sz w:val="32"/>
          <w:szCs w:val="32"/>
        </w:rPr>
        <w:t>改判、发回重审率</w:t>
      </w:r>
    </w:p>
    <w:p w:rsidR="001664CE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</w:t>
      </w:r>
      <w:r w:rsidR="0043063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月份，全市法院生效案件再审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被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改判、发回重审率为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0.1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，优于省法院目标责任制考核确定的不高于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0.35%的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指标要求。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全市法院生效案件再审被改判、发回重审数为</w:t>
      </w:r>
      <w:r w:rsidR="0043063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60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件，其中基层法院</w:t>
      </w:r>
      <w:r w:rsidR="0043063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件，市中院</w:t>
      </w:r>
      <w:r w:rsidR="0043063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32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件。</w:t>
      </w:r>
    </w:p>
    <w:p w:rsidR="001664CE" w:rsidRPr="00D07CA3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各基层法院该项指标均符合省法院考核要求，其中净月法院、二道法院、汽开法院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生效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案件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改发比率为零。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各基层法院生效案件再审被改判、发回重审数分别为：朝阳法院7件、经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开法院5件、南关法院3件、宽城法院3件、高新法院2件、榆树法院2件、</w:t>
      </w:r>
      <w:r w:rsidR="0043063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九台法院2件、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德惠法院、农安法院、绿园法院、双阳法院各1件。</w:t>
      </w:r>
    </w:p>
    <w:p w:rsidR="001664CE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市中院生效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案件</w:t>
      </w:r>
      <w:r w:rsidR="0003312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被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改发率为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0.</w:t>
      </w:r>
      <w:r w:rsidR="00EE7A7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，不符合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法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院确定的不高于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0.35%的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指标要求。其中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，高于0.35%考核指标的有：民三庭</w:t>
      </w:r>
      <w:r w:rsidR="00B7280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4.55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%、行政庭2.</w:t>
      </w:r>
      <w:r w:rsidR="00B7280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%、审监二庭1.</w:t>
      </w:r>
      <w:r w:rsidR="00B7280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37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%、民一庭</w:t>
      </w:r>
      <w:r w:rsidR="002A5CA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1.00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</w:t>
      </w:r>
      <w:r w:rsidR="002A5CA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民二庭0.77%、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民四庭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0.6</w:t>
      </w:r>
      <w:r w:rsidR="002A5CA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、刑二庭0.</w:t>
      </w:r>
      <w:r w:rsidR="002A5CA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38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%。院长、刑一庭、立案一庭生效案件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改发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比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率均为零。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市中院各部门生效案件再审被改判、发回重审数为：民二庭</w:t>
      </w:r>
      <w:r w:rsidR="00675A0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件、民一庭</w:t>
      </w:r>
      <w:r w:rsidR="00675A0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件、行政庭</w:t>
      </w:r>
      <w:r w:rsidR="00675A0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件、民四庭</w:t>
      </w:r>
      <w:r w:rsidR="00675A02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件、民三庭2件、审监二庭1件、刑二庭1件、民五庭1件，院长、刑一庭、立案一庭没有被发改案件。</w:t>
      </w:r>
    </w:p>
    <w:p w:rsidR="001664CE" w:rsidRPr="00654C37" w:rsidRDefault="001664CE" w:rsidP="001664CE">
      <w:pPr>
        <w:spacing w:line="360" w:lineRule="auto"/>
        <w:ind w:firstLineChars="196" w:firstLine="627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六、改判、发回重审、提审、指令再审案件评查情况</w:t>
      </w:r>
    </w:p>
    <w:p w:rsidR="001664CE" w:rsidRDefault="001664CE" w:rsidP="001664CE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Cs/>
          <w:kern w:val="2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按照省高院评查工作的总体部署，评查工作第一阶段任务为对</w:t>
      </w:r>
      <w:r w:rsidRPr="00C37120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2017年1月1日至2018年3月31日</w:t>
      </w:r>
      <w:r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间被发、改、提审、指令再审的四类案件进行评查，</w:t>
      </w:r>
      <w:r w:rsidRPr="00007577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全市法院应评查案件</w:t>
      </w:r>
      <w:r w:rsidR="00102F18" w:rsidRPr="00007577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2057</w:t>
      </w:r>
      <w:r w:rsidRPr="00007577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件。截止</w:t>
      </w:r>
      <w:r w:rsidR="00102F18" w:rsidRPr="00007577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9</w:t>
      </w:r>
      <w:r w:rsidRPr="00007577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月底，全市法院已经</w:t>
      </w:r>
      <w:r w:rsidR="007C1333" w:rsidRPr="00007577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评查</w:t>
      </w:r>
      <w:r w:rsidRPr="00007577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案件</w:t>
      </w:r>
      <w:r w:rsidR="00102F18" w:rsidRPr="00007577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1824</w:t>
      </w:r>
      <w:r w:rsidRPr="00007577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件，确定不合格案件</w:t>
      </w:r>
      <w:r w:rsidR="00102F18" w:rsidRPr="00007577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10</w:t>
      </w:r>
      <w:r w:rsidR="004B632C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1</w:t>
      </w:r>
      <w:r w:rsidRPr="00007577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件。</w:t>
      </w:r>
      <w:r w:rsidRPr="00F0737F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长春中院</w:t>
      </w:r>
      <w:r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已评查案件</w:t>
      </w:r>
      <w:r w:rsidR="00007577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92</w:t>
      </w:r>
      <w:r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件，确定不合格案件</w:t>
      </w:r>
      <w:r w:rsidR="004B632C"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bCs/>
          <w:kern w:val="21"/>
          <w:sz w:val="32"/>
          <w:szCs w:val="32"/>
        </w:rPr>
        <w:t>件（其中有15件系列案件）。</w:t>
      </w:r>
    </w:p>
    <w:p w:rsidR="001664CE" w:rsidRPr="00D949E9" w:rsidRDefault="001664CE" w:rsidP="001664CE">
      <w:pPr>
        <w:spacing w:line="360" w:lineRule="auto"/>
        <w:ind w:firstLineChars="196" w:firstLine="627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七</w:t>
      </w:r>
      <w:r w:rsidRPr="00D949E9">
        <w:rPr>
          <w:rFonts w:ascii="黑体" w:eastAsia="黑体" w:hAnsi="黑体" w:cs="黑体" w:hint="eastAsia"/>
          <w:color w:val="000000" w:themeColor="text1"/>
          <w:sz w:val="32"/>
          <w:szCs w:val="32"/>
        </w:rPr>
        <w:t>、一审案件服判息诉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情况</w:t>
      </w:r>
    </w:p>
    <w:p w:rsidR="001664CE" w:rsidRPr="00D949E9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</w:t>
      </w:r>
      <w:r w:rsidR="00E425B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月，全市法院一审案件服判息诉率为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91.</w:t>
      </w:r>
      <w:r w:rsidR="00E425B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34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，总体达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到省法院目标责任制考核确定的不低于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90%的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指标要求。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各基层法院中，一审案件服判息诉率优于省法院考核值的有：榆树法院95.</w:t>
      </w:r>
      <w:r w:rsidR="00BC3ED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80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%、德惠法院95.</w:t>
      </w:r>
      <w:r w:rsidR="00BC3ED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%、九台法院9</w:t>
      </w:r>
      <w:r w:rsidR="00BC3ED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5.02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</w:t>
      </w:r>
      <w:r w:rsidR="00BC3ED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宽城法院93.27%、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双阳法院93.</w:t>
      </w:r>
      <w:r w:rsidR="00BC3ED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7%、农安法院92.</w:t>
      </w:r>
      <w:r w:rsidR="00BC3ED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48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%、经开法院90.</w:t>
      </w:r>
      <w:r w:rsidR="00D75B8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15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%；</w:t>
      </w:r>
      <w:r w:rsidRPr="00D949E9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劣于省</w:t>
      </w:r>
      <w:r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法</w:t>
      </w:r>
      <w:r w:rsidRPr="00D949E9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院考核值的有：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汽开法院</w:t>
      </w:r>
      <w:r w:rsidR="00D75B8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83.28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净月法院</w:t>
      </w:r>
      <w:r w:rsidR="00D75B8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84.50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、绿园法院86.</w:t>
      </w:r>
      <w:r w:rsidR="00D75B8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%、高新法院87.</w:t>
      </w:r>
      <w:r w:rsidR="00D75B8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%、</w:t>
      </w:r>
      <w:r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二道</w:t>
      </w:r>
      <w:r w:rsidRPr="00D949E9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法院</w:t>
      </w:r>
      <w:r w:rsidR="00D75B8C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88.69</w:t>
      </w:r>
      <w:r w:rsidRPr="00D949E9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%、</w:t>
      </w:r>
      <w:r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南关法院</w:t>
      </w:r>
      <w:r w:rsidR="00D75B8C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89.20</w:t>
      </w:r>
      <w:r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%、朝阳法院89.</w:t>
      </w:r>
      <w:r w:rsidR="00D75B8C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2%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。上述7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家法院应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加强判后答疑，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强化息诉服判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释法明理工作。</w:t>
      </w:r>
    </w:p>
    <w:p w:rsidR="001664CE" w:rsidRPr="00D949E9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市中院该项指标为</w:t>
      </w:r>
      <w:r w:rsidR="00D75B8C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74.00</w:t>
      </w:r>
      <w:r w:rsidRPr="00D949E9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，劣于省院考核值。优于省院考核值的部门有：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审监二庭100%、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民五庭</w:t>
      </w:r>
      <w:r w:rsidR="00D75B8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97.14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A1156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院长94.74%、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民二庭</w:t>
      </w:r>
      <w:r w:rsidR="00A1156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93.69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%、民四庭</w:t>
      </w:r>
      <w:r w:rsidR="00A11561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92.38</w:t>
      </w:r>
      <w:r w:rsidRPr="00D949E9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%</w:t>
      </w:r>
      <w:r w:rsidR="00D75B8C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、</w:t>
      </w:r>
      <w:r w:rsidR="00D75B8C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民三庭</w:t>
      </w:r>
      <w:r w:rsidR="00A11561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90.00</w:t>
      </w:r>
      <w:r w:rsidR="00D75B8C" w:rsidRPr="00D949E9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，劣于省院考核值的部门有：立案一庭</w:t>
      </w:r>
      <w:r w:rsidR="00A1156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32.65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="00A11561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刑一庭</w:t>
      </w:r>
      <w:r w:rsidR="00A1156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51.39</w:t>
      </w:r>
      <w:r w:rsidR="00A11561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行政庭</w:t>
      </w:r>
      <w:r w:rsidR="00A11561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53.75</w:t>
      </w:r>
      <w:r w:rsidRPr="00D949E9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、民一庭</w:t>
      </w:r>
      <w:r w:rsidR="00A1156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70.00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、刑二庭</w:t>
      </w:r>
      <w:r w:rsidR="00A1156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85.71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%。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各庭室应落实判后答疑工作，努力提高一审案件服判息诉率。</w:t>
      </w:r>
    </w:p>
    <w:p w:rsidR="001664CE" w:rsidRPr="00612798" w:rsidRDefault="001664CE" w:rsidP="001664CE">
      <w:pPr>
        <w:spacing w:line="360" w:lineRule="auto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612798">
        <w:rPr>
          <w:rFonts w:ascii="黑体" w:eastAsia="黑体" w:hAnsi="黑体" w:cs="黑体" w:hint="eastAsia"/>
          <w:color w:val="000000" w:themeColor="text1"/>
          <w:sz w:val="32"/>
          <w:szCs w:val="32"/>
        </w:rPr>
        <w:t>八、生效案件申请再审、申诉情况</w:t>
      </w:r>
    </w:p>
    <w:p w:rsidR="001664CE" w:rsidRPr="003433EB" w:rsidRDefault="001664CE" w:rsidP="001664CE">
      <w:pPr>
        <w:spacing w:line="360" w:lineRule="auto"/>
        <w:ind w:firstLineChars="200" w:firstLine="640"/>
        <w:rPr>
          <w:rFonts w:ascii="仿宋_GB2312" w:eastAsia="仿宋_GB2312" w:hAnsi="黑体" w:cs="黑体"/>
          <w:color w:val="000000" w:themeColor="text1"/>
          <w:sz w:val="32"/>
          <w:szCs w:val="32"/>
        </w:rPr>
      </w:pPr>
      <w:r w:rsidRPr="00612798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全市法院生效案件申请再审、申诉率3.</w:t>
      </w:r>
      <w:r w:rsidR="00612798" w:rsidRPr="00612798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4</w:t>
      </w:r>
      <w:r w:rsidRPr="00612798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8%，</w:t>
      </w:r>
      <w:r w:rsidR="00612798" w:rsidRPr="00612798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位列全省12家中院第</w:t>
      </w:r>
      <w:r w:rsidR="00FF7CA5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九</w:t>
      </w:r>
      <w:r w:rsidR="00612798" w:rsidRPr="00612798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名，</w:t>
      </w:r>
      <w:r w:rsidRPr="00612798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符合省法院确定的不高于4%的考核要求。全市法院应继续加强判后答疑工作，强化息诉服判，确保该项指标年度考核达标。</w:t>
      </w:r>
    </w:p>
    <w:p w:rsidR="001664CE" w:rsidRPr="00D949E9" w:rsidRDefault="001664CE" w:rsidP="001664CE">
      <w:pPr>
        <w:spacing w:line="360" w:lineRule="auto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九</w:t>
      </w:r>
      <w:r w:rsidRPr="00D949E9">
        <w:rPr>
          <w:rFonts w:ascii="黑体" w:eastAsia="黑体" w:hAnsi="黑体" w:cs="黑体" w:hint="eastAsia"/>
          <w:color w:val="000000" w:themeColor="text1"/>
          <w:sz w:val="32"/>
          <w:szCs w:val="32"/>
        </w:rPr>
        <w:t>、院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领导办案情况</w:t>
      </w:r>
    </w:p>
    <w:p w:rsidR="001664CE" w:rsidRPr="0005144F" w:rsidRDefault="001664CE" w:rsidP="001664CE">
      <w:pPr>
        <w:spacing w:line="360" w:lineRule="auto"/>
        <w:ind w:firstLine="630"/>
        <w:rPr>
          <w:rFonts w:ascii="楷体_GB2312" w:eastAsia="楷体_GB2312" w:hAnsi="宋体" w:cs="宋体"/>
          <w:color w:val="000000" w:themeColor="text1"/>
          <w:sz w:val="32"/>
          <w:szCs w:val="32"/>
        </w:rPr>
      </w:pPr>
      <w:r w:rsidRPr="0005144F">
        <w:rPr>
          <w:rFonts w:ascii="楷体_GB2312" w:eastAsia="楷体_GB2312" w:hAnsi="宋体" w:cs="宋体" w:hint="eastAsia"/>
          <w:color w:val="000000" w:themeColor="text1"/>
          <w:sz w:val="32"/>
          <w:szCs w:val="32"/>
        </w:rPr>
        <w:lastRenderedPageBreak/>
        <w:t>（一）市中院院领导办案情况</w:t>
      </w:r>
    </w:p>
    <w:p w:rsidR="001664CE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目前，市中院入额院领导共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受理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案件</w:t>
      </w:r>
      <w:r w:rsidR="00A1156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162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，审结案件</w:t>
      </w:r>
      <w:r w:rsidR="00A1156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115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1664CE" w:rsidRPr="00D949E9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请各位领导严格按照省法院考核要求办案，确保年底考核达标。</w:t>
      </w:r>
    </w:p>
    <w:p w:rsidR="001664CE" w:rsidRPr="0005144F" w:rsidRDefault="001664CE" w:rsidP="001664CE">
      <w:pPr>
        <w:spacing w:line="360" w:lineRule="auto"/>
        <w:ind w:firstLine="630"/>
        <w:rPr>
          <w:rFonts w:ascii="楷体_GB2312" w:eastAsia="楷体_GB2312" w:hAnsi="宋体" w:cs="宋体"/>
          <w:color w:val="000000" w:themeColor="text1"/>
          <w:sz w:val="32"/>
          <w:szCs w:val="32"/>
        </w:rPr>
      </w:pPr>
      <w:r w:rsidRPr="0005144F">
        <w:rPr>
          <w:rFonts w:ascii="楷体_GB2312" w:eastAsia="楷体_GB2312" w:hAnsi="宋体" w:cs="宋体" w:hint="eastAsia"/>
          <w:color w:val="000000" w:themeColor="text1"/>
          <w:sz w:val="32"/>
          <w:szCs w:val="32"/>
        </w:rPr>
        <w:t>（二）基层法院院领导办案情况：</w:t>
      </w:r>
    </w:p>
    <w:p w:rsidR="001664CE" w:rsidRPr="00D949E9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b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1、基层法院院长办案情况：</w:t>
      </w:r>
    </w:p>
    <w:p w:rsidR="001664CE" w:rsidRPr="00D949E9" w:rsidRDefault="00A11561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1-9</w:t>
      </w:r>
      <w:r w:rsidR="001664C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月，</w:t>
      </w:r>
      <w:r w:rsidR="001664C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基层法院院长</w:t>
      </w:r>
      <w:r w:rsidR="001664C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共受理案件</w:t>
      </w:r>
      <w:r w:rsidR="00041E7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261</w:t>
      </w:r>
      <w:r w:rsidR="001664C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件，审结案件</w:t>
      </w:r>
      <w:r w:rsidR="00041E7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236</w:t>
      </w:r>
      <w:r w:rsidR="001664C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件。</w:t>
      </w:r>
    </w:p>
    <w:p w:rsidR="001664CE" w:rsidRPr="00D949E9" w:rsidRDefault="001664CE" w:rsidP="001664CE">
      <w:pPr>
        <w:spacing w:line="360" w:lineRule="auto"/>
        <w:ind w:firstLineChars="200" w:firstLine="643"/>
        <w:rPr>
          <w:rFonts w:ascii="仿宋_GB2312" w:eastAsia="仿宋_GB2312" w:hAnsi="宋体" w:cs="宋体"/>
          <w:b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b/>
          <w:color w:val="000000" w:themeColor="text1"/>
          <w:sz w:val="32"/>
          <w:szCs w:val="32"/>
        </w:rPr>
        <w:t>2、基层法院其他入额院领导办案情况：</w:t>
      </w:r>
    </w:p>
    <w:p w:rsidR="001664CE" w:rsidRDefault="001664CE" w:rsidP="001664CE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截至目前，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基层法院其他入额院领导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共受理案件</w:t>
      </w:r>
      <w:r w:rsidR="00041E7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3705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件，审结案件</w:t>
      </w:r>
      <w:r w:rsidR="00041E71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3175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件。</w:t>
      </w:r>
    </w:p>
    <w:p w:rsidR="001664CE" w:rsidRPr="00D949E9" w:rsidRDefault="001664CE" w:rsidP="001664CE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请各院领导严格按照省法院考核要求办案，确保年底考核达标。</w:t>
      </w:r>
    </w:p>
    <w:p w:rsidR="001664CE" w:rsidRPr="00D949E9" w:rsidRDefault="001664CE" w:rsidP="001664CE">
      <w:pPr>
        <w:spacing w:line="360" w:lineRule="auto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十</w:t>
      </w:r>
      <w:r w:rsidRPr="00D949E9">
        <w:rPr>
          <w:rFonts w:ascii="黑体" w:eastAsia="黑体" w:hAnsi="黑体" w:cs="黑体" w:hint="eastAsia"/>
          <w:color w:val="000000" w:themeColor="text1"/>
          <w:sz w:val="32"/>
          <w:szCs w:val="32"/>
        </w:rPr>
        <w:t>、一审案件简易程序适用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情况</w:t>
      </w:r>
    </w:p>
    <w:p w:rsidR="001664CE" w:rsidRPr="00D949E9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</w:t>
      </w:r>
      <w:r w:rsidR="0000521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月份，全市基层法院一审简易程序适用率为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79.</w:t>
      </w:r>
      <w:r w:rsidR="0000521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19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，优于省法院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年度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目标责任制考核确定的不低于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0%的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指标要求。各基层法院按适用率由高到低依次为：九台法院</w:t>
      </w:r>
      <w:r w:rsidR="0000521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95.55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、德惠法院</w:t>
      </w:r>
      <w:r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92.</w:t>
      </w:r>
      <w:r w:rsidR="0000521E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02</w:t>
      </w:r>
      <w:r w:rsidRPr="00D949E9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、双阳法院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91.</w:t>
      </w:r>
      <w:r w:rsidR="0000521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48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、二道法院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85.</w:t>
      </w:r>
      <w:r w:rsidR="0000521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47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%、榆树法院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80.</w:t>
      </w:r>
      <w:r w:rsidR="0000521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97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00521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高新法院</w:t>
      </w:r>
      <w:r w:rsidR="0000521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79.29</w:t>
      </w:r>
      <w:r w:rsidR="0000521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净月法院</w:t>
      </w:r>
      <w:r w:rsidR="0000521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78.13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%、经开法院</w:t>
      </w:r>
      <w:r w:rsidR="0000521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77.87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农安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法院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77.</w:t>
      </w:r>
      <w:r w:rsidR="0000521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28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%、</w:t>
      </w:r>
      <w:r w:rsidR="0000521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宽城法院</w:t>
      </w:r>
      <w:r w:rsidR="0000521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71.37</w:t>
      </w:r>
      <w:r w:rsidR="0000521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南关法院</w:t>
      </w:r>
      <w:r w:rsidR="0000521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69.10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朝阳法院</w:t>
      </w:r>
      <w:r w:rsidR="0000521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66.98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00521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汽开法院65.79%、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绿园法院</w:t>
      </w:r>
      <w:r w:rsidR="0000521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63.46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。一审简易程序适用率低于70%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以上4家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法院应当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积极推进源头繁简分流，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严把立案关，并严控简易程序转为普通程序。</w:t>
      </w:r>
    </w:p>
    <w:p w:rsidR="001664CE" w:rsidRPr="00F2314D" w:rsidRDefault="001664CE" w:rsidP="001664CE">
      <w:pPr>
        <w:spacing w:line="360" w:lineRule="auto"/>
        <w:ind w:leftChars="304" w:left="639" w:hanging="1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949E9">
        <w:rPr>
          <w:rFonts w:ascii="黑体" w:eastAsia="黑体" w:hAnsi="黑体" w:cs="黑体" w:hint="eastAsia"/>
          <w:color w:val="000000" w:themeColor="text1"/>
          <w:sz w:val="32"/>
          <w:szCs w:val="32"/>
        </w:rPr>
        <w:t>十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</w:t>
      </w:r>
      <w:r w:rsidRPr="00D949E9">
        <w:rPr>
          <w:rFonts w:ascii="黑体" w:eastAsia="黑体" w:hAnsi="黑体" w:cs="黑体" w:hint="eastAsia"/>
          <w:color w:val="000000" w:themeColor="text1"/>
          <w:sz w:val="32"/>
          <w:szCs w:val="32"/>
        </w:rPr>
        <w:t>、裁判文书上网情况</w:t>
      </w:r>
    </w:p>
    <w:p w:rsidR="001664CE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</w:t>
      </w:r>
      <w:r w:rsidR="0000521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月份，全市法院裁判文书上网率为</w:t>
      </w:r>
      <w:r w:rsidR="00C174B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81.72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</w:t>
      </w:r>
      <w:r w:rsidR="00FF7CA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高于全省均值（80.84%）0.88个百分点，位列全省第五名，</w:t>
      </w:r>
      <w:r w:rsidR="00C174B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符合省法院考核要求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1664CE" w:rsidRPr="00D949E9" w:rsidRDefault="00FF7CA5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基层法院中绿园、高新、净月法院位列全省前10名，分列全省第一、第六、第九名。</w:t>
      </w:r>
      <w:r w:rsidR="001664C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各基层</w:t>
      </w:r>
      <w:r w:rsidR="001664CE"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法</w:t>
      </w:r>
      <w:r w:rsidR="001664C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院上网率依次为</w:t>
      </w:r>
      <w:r w:rsidR="001664C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：</w:t>
      </w:r>
      <w:r w:rsidR="00791C7A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绿园法院</w:t>
      </w:r>
      <w:r w:rsidR="00791C7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94.58</w:t>
      </w:r>
      <w:r w:rsidR="00791C7A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</w:t>
      </w:r>
      <w:r w:rsidR="00791C7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791C7A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高新法院</w:t>
      </w:r>
      <w:r w:rsidR="00791C7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91.37</w:t>
      </w:r>
      <w:r w:rsidR="00791C7A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</w:t>
      </w:r>
      <w:r w:rsidR="00791C7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0F753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净月法院</w:t>
      </w:r>
      <w:r w:rsidR="000F753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90.44</w:t>
      </w:r>
      <w:r w:rsidR="000F753F"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="000F753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、朝阳法院</w:t>
      </w:r>
      <w:r w:rsidR="000F753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87.90</w:t>
      </w:r>
      <w:r w:rsidR="000F753F"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="000F753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、宽城法院</w:t>
      </w:r>
      <w:r w:rsidR="000F753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87.70</w:t>
      </w:r>
      <w:r w:rsidR="000F753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</w:t>
      </w:r>
      <w:r w:rsidR="001664C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九台法院</w:t>
      </w:r>
      <w:r w:rsidR="0092695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86.97</w:t>
      </w:r>
      <w:r w:rsidR="001664C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</w:t>
      </w:r>
      <w:r w:rsidR="001664C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1664C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农安法院</w:t>
      </w:r>
      <w:r w:rsidR="0092695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84.54</w:t>
      </w:r>
      <w:r w:rsidR="001664C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%、二道法院</w:t>
      </w:r>
      <w:r w:rsidR="0052255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84.43</w:t>
      </w:r>
      <w:r w:rsidR="001664C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</w:t>
      </w:r>
      <w:r w:rsidR="00522553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双阳法院</w:t>
      </w:r>
      <w:r w:rsidR="0052255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83.46</w:t>
      </w:r>
      <w:r w:rsidR="00522553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%、经开法院</w:t>
      </w:r>
      <w:r w:rsidR="0052255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81.91</w:t>
      </w:r>
      <w:r w:rsidR="00522553"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="00522553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1664C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榆树法院</w:t>
      </w:r>
      <w:r w:rsidR="0052255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74.87</w:t>
      </w:r>
      <w:r w:rsidR="001664C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</w:t>
      </w:r>
      <w:r w:rsidR="00522553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德惠法院</w:t>
      </w:r>
      <w:r w:rsidR="0052255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66.54</w:t>
      </w:r>
      <w:r w:rsidR="00522553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%、南关法院</w:t>
      </w:r>
      <w:r w:rsidR="0052255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62.88</w:t>
      </w:r>
      <w:r w:rsidR="00522553"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="0052255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="001664C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汽开法院</w:t>
      </w:r>
      <w:r w:rsidR="0052255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61.34</w:t>
      </w:r>
      <w:r w:rsidR="001664CE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%。</w:t>
      </w:r>
      <w:r w:rsidR="001664C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裁判文书上网率低于75%的4家法院应引起高度重视，确保文书上网率符合省法院年度考核要求。</w:t>
      </w:r>
    </w:p>
    <w:p w:rsidR="001664CE" w:rsidRDefault="001664CE" w:rsidP="001664CE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市中院裁判文书上网率为</w:t>
      </w:r>
      <w:r w:rsidR="0052255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85.45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</w:t>
      </w:r>
      <w:r w:rsidR="002C58B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。各部门由高到低排序为：</w:t>
      </w:r>
      <w:r w:rsidR="002C58B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立案一庭、审监一庭</w:t>
      </w:r>
      <w:r w:rsidR="002C58B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2C58B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审监二庭、</w:t>
      </w:r>
      <w:r w:rsidR="002C58B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民五</w:t>
      </w:r>
      <w:r w:rsidR="002C58B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庭、</w:t>
      </w:r>
      <w:r w:rsidR="002C58B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民三</w:t>
      </w:r>
      <w:r w:rsidR="002C58B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庭</w:t>
      </w:r>
      <w:r w:rsidR="002C58BF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上网率均达到100%</w:t>
      </w:r>
      <w:r w:rsidR="002C58B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，民二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庭</w:t>
      </w:r>
      <w:r w:rsidR="002C58BF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99</w:t>
      </w:r>
      <w:r w:rsidRPr="00D949E9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%</w:t>
      </w:r>
      <w:r w:rsidR="002C58B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、民一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庭</w:t>
      </w:r>
      <w:r w:rsidR="002C58BF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99</w:t>
      </w:r>
      <w:r w:rsidRPr="00D949E9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2C58B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民四庭</w:t>
      </w:r>
      <w:r w:rsidR="002C58BF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97</w:t>
      </w:r>
      <w:r w:rsidR="002C58BF" w:rsidRPr="00D949E9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%</w:t>
      </w:r>
      <w:r w:rsidR="002C58B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2C58B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院长94%、</w:t>
      </w:r>
      <w:r w:rsidR="002C58B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刑二庭</w:t>
      </w:r>
      <w:r w:rsidR="002C58BF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89</w:t>
      </w:r>
      <w:r w:rsidR="002C58BF" w:rsidRPr="00D949E9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%</w:t>
      </w:r>
      <w:r w:rsidR="002C58B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、行政庭</w:t>
      </w:r>
      <w:r w:rsidR="002C58BF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88</w:t>
      </w:r>
      <w:r w:rsidR="002C58BF" w:rsidRPr="00D949E9">
        <w:rPr>
          <w:rFonts w:ascii="仿宋_GB2312" w:eastAsia="仿宋_GB2312" w:hAnsi="??_GB2312" w:cs="??_GB2312" w:hint="eastAsia"/>
          <w:color w:val="000000" w:themeColor="text1"/>
          <w:sz w:val="32"/>
          <w:szCs w:val="32"/>
        </w:rPr>
        <w:t>%</w:t>
      </w:r>
      <w:r w:rsidR="002C58B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、刑一庭</w:t>
      </w:r>
      <w:r w:rsidR="002C58B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76</w:t>
      </w:r>
      <w:r w:rsidR="002C58B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</w:t>
      </w:r>
      <w:r w:rsidR="002C58B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2C58B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执行处</w:t>
      </w:r>
      <w:r w:rsidR="002C58B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64</w:t>
      </w:r>
      <w:r w:rsidR="002C58B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%、执行复议监</w:t>
      </w:r>
      <w:r w:rsidR="002C58B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督处</w:t>
      </w:r>
      <w:r w:rsidR="002C58B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62</w:t>
      </w:r>
      <w:r w:rsidR="002C58BF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</w:t>
      </w:r>
      <w:r w:rsidR="002C58B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1664CE" w:rsidRPr="00D949E9" w:rsidRDefault="00C11505" w:rsidP="00C11505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各院及中院各部门要确保落实好文书上网这项事务性工作，积极负责、做好沟通，案件结束后及时进行标记上网或者进行不上网审批，同时，避免月底集中结案，导致文书未生效无法进行标记，影响裁判文书上网率。全市法院要认真查找问题，保证裁判文书上网率在全省创优。</w:t>
      </w:r>
    </w:p>
    <w:p w:rsidR="001664CE" w:rsidRPr="0061065D" w:rsidRDefault="001664CE" w:rsidP="001664CE">
      <w:pPr>
        <w:spacing w:line="360" w:lineRule="auto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十二</w:t>
      </w:r>
      <w:r w:rsidRPr="00D949E9">
        <w:rPr>
          <w:rFonts w:ascii="黑体" w:eastAsia="黑体" w:hAnsi="黑体" w:cs="黑体" w:hint="eastAsia"/>
          <w:color w:val="000000" w:themeColor="text1"/>
          <w:sz w:val="32"/>
          <w:szCs w:val="32"/>
        </w:rPr>
        <w:t>、庭审直播情况</w:t>
      </w:r>
    </w:p>
    <w:p w:rsidR="001664CE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按照省法院目标责任制考核的要求，全年各地（辖）区法院直播庭审案件总数应当不低于本地（辖）区当年受理诉讼案件总数的7%，直播案件应当覆盖开庭审理的各种类型案件。1-</w:t>
      </w:r>
      <w:r w:rsidR="00C1150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份，全市两级法院庭审直播</w:t>
      </w:r>
      <w:r w:rsidR="00A057D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9428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件，庭审直播率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16.</w:t>
      </w:r>
      <w:r w:rsidR="00A057D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38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%，</w:t>
      </w:r>
      <w:r w:rsidR="00FF7CA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位列全省第三名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1664CE" w:rsidRPr="00D949E9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基层法院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庭审直播</w:t>
      </w:r>
      <w:r w:rsidR="00557DCE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8657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件，各院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直播率为：农安法院</w:t>
      </w:r>
      <w:r w:rsidR="00557DC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22.51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双阳法院</w:t>
      </w:r>
      <w:r w:rsidR="00557DC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21.57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、宽城法院</w:t>
      </w:r>
      <w:r w:rsidR="00557DC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17.83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A01C7D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朝阳法院</w:t>
      </w:r>
      <w:r w:rsidR="00A01C7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17.77</w:t>
      </w:r>
      <w:r w:rsidR="00A01C7D"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="00A01C7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德惠法院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17.</w:t>
      </w:r>
      <w:r w:rsidR="00A01C7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41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、二道法院</w:t>
      </w:r>
      <w:r w:rsidR="00A01C7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16.03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A01C7D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南关法院</w:t>
      </w:r>
      <w:r w:rsidR="00A01C7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14.43</w:t>
      </w:r>
      <w:r w:rsidR="00A01C7D"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="00A01C7D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经开法院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13.</w:t>
      </w:r>
      <w:r w:rsidR="00A01C7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52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、九台法院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13.</w:t>
      </w:r>
      <w:r w:rsidR="00A01C7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、汽开法院</w:t>
      </w:r>
      <w:r w:rsidR="00A01C7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12.31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、榆树法院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10.</w:t>
      </w:r>
      <w:r w:rsidR="00A01C7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32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</w:t>
      </w:r>
      <w:r w:rsidR="00A01C7D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净月法院</w:t>
      </w:r>
      <w:r w:rsidR="00A01C7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9.51</w:t>
      </w:r>
      <w:r w:rsidR="00A01C7D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%、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绿园法院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9.</w:t>
      </w:r>
      <w:r w:rsidR="00A01C7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41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、高新法院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8.</w:t>
      </w:r>
      <w:r w:rsidR="00A01C7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80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%。</w:t>
      </w:r>
    </w:p>
    <w:p w:rsidR="001664CE" w:rsidRPr="00D949E9" w:rsidRDefault="001664CE" w:rsidP="001664CE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市中院庭审直播</w:t>
      </w:r>
      <w:r w:rsidR="00A01C7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771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件，直播率为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10.</w:t>
      </w:r>
      <w:r w:rsidR="00A01C7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36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</w:t>
      </w:r>
      <w:r w:rsidR="00223FD0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，位列全省中院第六名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。各部门直播情况为：</w:t>
      </w:r>
      <w:r w:rsidR="00A01C7D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刑二庭</w:t>
      </w:r>
      <w:r w:rsidR="00A01C7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149</w:t>
      </w:r>
      <w:r w:rsidR="00A01C7D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</w:t>
      </w:r>
      <w:r w:rsidR="00A01C7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直播率32.96%，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刑一庭</w:t>
      </w:r>
      <w:r w:rsidR="00A01C7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36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直播率</w:t>
      </w:r>
      <w:r w:rsidR="00A01C7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31.58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%，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审监二庭</w:t>
      </w:r>
      <w:r w:rsidR="00A01C7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75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直播率17.</w:t>
      </w:r>
      <w:r w:rsidR="00A01C7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52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%，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民五庭</w:t>
      </w:r>
      <w:r w:rsidR="00A01C7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182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直播率14.</w:t>
      </w:r>
      <w:r w:rsidR="00D5335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26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%，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民四庭</w:t>
      </w:r>
      <w:r w:rsidR="00D5335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148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直播率12.</w:t>
      </w:r>
      <w:r w:rsidR="00D5335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56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%，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民一庭</w:t>
      </w:r>
      <w:r w:rsidR="00D5335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72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直播率</w:t>
      </w:r>
      <w:r w:rsidR="00D5335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7.35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%，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民三庭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11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直播率6.</w:t>
      </w:r>
      <w:r w:rsidR="00D5335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21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%，</w:t>
      </w:r>
      <w:r w:rsidR="00D53355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行政庭</w:t>
      </w:r>
      <w:r w:rsidR="00D5335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21</w:t>
      </w:r>
      <w:r w:rsidR="00D53355"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</w:t>
      </w:r>
      <w:r w:rsidR="00D5335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、直播率4.76%，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民二庭</w:t>
      </w:r>
      <w:r w:rsidR="00D5335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74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直播率3.9</w:t>
      </w:r>
      <w:r w:rsidR="00D5335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%。直播率低于7%的部门应加大直播力度，扩大直播案件类型覆盖面，不断提升庭审直播率。</w:t>
      </w:r>
    </w:p>
    <w:p w:rsidR="001664CE" w:rsidRPr="0061065D" w:rsidRDefault="001664CE" w:rsidP="001664CE">
      <w:pPr>
        <w:spacing w:line="360" w:lineRule="auto"/>
        <w:ind w:firstLineChars="200" w:firstLine="640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十三</w:t>
      </w:r>
      <w:r w:rsidRPr="00D949E9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、审判流程信息公开情况</w:t>
      </w:r>
    </w:p>
    <w:p w:rsidR="001664CE" w:rsidRPr="006A44A8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int="eastAsia"/>
          <w:color w:val="000000" w:themeColor="text1"/>
          <w:sz w:val="32"/>
          <w:szCs w:val="32"/>
        </w:rPr>
        <w:t>审判流程信息公开情况省院按年度考核，</w:t>
      </w:r>
      <w:r w:rsidRPr="006A44A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考核2018年下半年受理的刑事、民事、行政、赔偿案件的各审判流程信息公开情况，未完成公开的案件，每1件减0.01分，减分以1分为限。同时，各院对于审判流程中的重要节点应向当事人推送短信提醒信息，主要考核立案和开庭两个节点信息的短信推送情况，未完成公开的案件，每一件减0.01分，减分以1分为限。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</w:t>
      </w:r>
      <w:r w:rsidR="00AE005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月，全市法院已公开案件</w:t>
      </w:r>
      <w:r w:rsidR="003568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62188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件，公开比例达到100%。</w:t>
      </w:r>
      <w:r w:rsidRPr="006A44A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我市法院应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认真对待审判流程信息公开</w:t>
      </w:r>
      <w:r w:rsidR="001C5E0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工作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，防止出现录入当事人手机号码错误、不准确等问题，市中院审管办将对此项工作进行监管。</w:t>
      </w:r>
    </w:p>
    <w:p w:rsidR="001664CE" w:rsidRPr="0061065D" w:rsidRDefault="001664CE" w:rsidP="001664CE">
      <w:pPr>
        <w:spacing w:line="360" w:lineRule="auto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十四</w:t>
      </w:r>
      <w:r w:rsidRPr="00D949E9">
        <w:rPr>
          <w:rFonts w:ascii="黑体" w:eastAsia="黑体" w:hAnsi="黑体" w:cs="黑体" w:hint="eastAsia"/>
          <w:color w:val="000000" w:themeColor="text1"/>
          <w:sz w:val="32"/>
          <w:szCs w:val="32"/>
        </w:rPr>
        <w:t>、卷宗归档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情况</w:t>
      </w:r>
    </w:p>
    <w:p w:rsidR="001664CE" w:rsidRDefault="001664CE" w:rsidP="001664CE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按照省法院目标责任制考核要求，已结案件在一个月内均应归档完毕。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截止</w:t>
      </w:r>
      <w:r w:rsidR="003568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月3</w:t>
      </w:r>
      <w:r w:rsidR="003568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日，全市法院超1个月未归档案件</w:t>
      </w:r>
      <w:r w:rsidR="003568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643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件，超2个月未归档案件</w:t>
      </w:r>
      <w:r w:rsidR="003568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70件，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超3个月未归档案件</w:t>
      </w:r>
      <w:r w:rsidR="003568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3件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，归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档率</w:t>
      </w:r>
      <w:r w:rsidR="0035688D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98.46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%。</w:t>
      </w:r>
    </w:p>
    <w:p w:rsidR="001664CE" w:rsidRDefault="001664CE" w:rsidP="001664CE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基层法院共有</w:t>
      </w:r>
      <w:r w:rsidR="00C90E8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件超1个月未归档案件，其中</w:t>
      </w:r>
      <w:r w:rsidR="00C90E8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经开法院11件、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榆树法院1件、</w:t>
      </w:r>
      <w:r w:rsidR="00C90E8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绿园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法院1件。</w:t>
      </w:r>
      <w:r w:rsidR="00C90E8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基层法院有1件超3个月未归档案件，</w:t>
      </w:r>
      <w:r w:rsidR="001C5E0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为</w:t>
      </w:r>
      <w:r w:rsidR="00C90E8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朝阳法院</w:t>
      </w:r>
      <w:r w:rsidR="001C5E0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案</w:t>
      </w:r>
      <w:r w:rsidR="00C90E8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件。</w:t>
      </w:r>
    </w:p>
    <w:p w:rsidR="008477C4" w:rsidRDefault="001664CE" w:rsidP="001664CE">
      <w:pPr>
        <w:spacing w:line="360" w:lineRule="auto"/>
        <w:ind w:firstLineChars="200"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市中院共有</w:t>
      </w:r>
      <w:r w:rsidR="00C90E8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630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件超1个月未归档案件，</w:t>
      </w:r>
      <w:r w:rsidR="008477C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其中审监一庭593件、立案一庭16件、民二庭11件、民四庭8件、刑二庭1件、司辅办1件；共有</w:t>
      </w:r>
      <w:r w:rsidR="00C90E83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70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件超2个月未归档案件，</w:t>
      </w:r>
      <w:r w:rsidR="008477C4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其中审监一庭69件、刑二庭1件；共有2件超3个月未归档案件，其中刑二庭1件、司辅办1件。</w:t>
      </w:r>
      <w:r w:rsidR="00C655E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经了解，市中院未归档案件有订卷室集中装订执行卷宗、审委会笔录委员签字周期较长等客观因素，但因管理不到位导致超期归档的问题应引起重视。</w:t>
      </w:r>
    </w:p>
    <w:p w:rsidR="001664CE" w:rsidRPr="00F834EC" w:rsidRDefault="001664CE" w:rsidP="001664CE">
      <w:pPr>
        <w:spacing w:line="360" w:lineRule="auto"/>
        <w:ind w:firstLine="63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504569">
        <w:rPr>
          <w:rFonts w:ascii="黑体" w:eastAsia="黑体" w:hAnsi="黑体" w:cs="黑体" w:hint="eastAsia"/>
          <w:color w:val="000000" w:themeColor="text1"/>
          <w:sz w:val="32"/>
          <w:szCs w:val="32"/>
        </w:rPr>
        <w:t>十五、诉讼案件平均审理天数</w:t>
      </w:r>
    </w:p>
    <w:p w:rsidR="001664CE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F834E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按照省法院目标责任制考核的要求，诉讼案件平均审理天数按年度进行考核，平均审理天数低于全省诉讼案件平均审理天数平均值的给予加分，每低于平均值1天（不足1天的按1天计算）的加0.1分，加分以1份为限。</w:t>
      </w:r>
      <w:r w:rsidR="008051F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1-9</w:t>
      </w:r>
      <w:r w:rsidRPr="00F834E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月，全市法院诉讼案件平均审理天数为</w:t>
      </w:r>
      <w:r w:rsidR="008051F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50.85</w:t>
      </w:r>
      <w:r w:rsidRPr="00F834E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天，市中院诉讼案件平均审理天数为</w:t>
      </w:r>
      <w:r w:rsidR="008051F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48.86</w:t>
      </w:r>
      <w:r w:rsidRPr="00F834EC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天。</w:t>
      </w:r>
    </w:p>
    <w:p w:rsidR="001664CE" w:rsidRDefault="001664CE" w:rsidP="001664CE">
      <w:pPr>
        <w:spacing w:line="360" w:lineRule="auto"/>
        <w:ind w:firstLine="63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基层法院</w:t>
      </w:r>
      <w:r w:rsidR="008051F8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中民事案件平均审理天数最少为双阳法院35.24天，最多为汽开法院65.67天；</w:t>
      </w:r>
      <w:r w:rsidR="007B26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刑事案件平均审理天数最少为</w:t>
      </w:r>
      <w:r w:rsidR="007B26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lastRenderedPageBreak/>
        <w:t>南关法院17.74天，最多为汽开法院43.55天；行政案件平均审理天数最少为高新法院36.43天，最多为汽开法院122.60天。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民事平均审理天数最高与最低相比，相差达到</w:t>
      </w:r>
      <w:r w:rsidR="007B26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30.43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天，刑事平均审理天数最高与最低相比，相差达到</w:t>
      </w:r>
      <w:r w:rsidR="007B26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25.81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天，行政平均审理天数最高与最低相比，相差达到</w:t>
      </w:r>
      <w:r w:rsidR="007B26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86.17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天。</w:t>
      </w:r>
      <w:r w:rsidRPr="000F28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双阳法院、九台法院</w:t>
      </w:r>
      <w:r w:rsidR="000F2866" w:rsidRPr="000F28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、农安法院</w:t>
      </w:r>
      <w:r w:rsidRPr="000F28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各类诉讼案件平均审理天数均排位</w:t>
      </w:r>
      <w:r w:rsidR="000F2866" w:rsidRPr="000F28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相对</w:t>
      </w:r>
      <w:r w:rsidRPr="000F2866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靠前，汽开法院、净月法院各类诉讼案件平均审理天数均排位靠后。根据吕院长会议强调，长春地区法院诉讼案件平均审理天数出现增长态势，全市法院务必引起高度重视，保证案件质量同时大幅提升结案效率。</w:t>
      </w:r>
    </w:p>
    <w:p w:rsidR="001664CE" w:rsidRPr="00153098" w:rsidRDefault="001664CE" w:rsidP="001664CE">
      <w:pPr>
        <w:spacing w:line="360" w:lineRule="auto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F834EC">
        <w:rPr>
          <w:rFonts w:ascii="黑体" w:eastAsia="黑体" w:hAnsi="黑体" w:cs="黑体" w:hint="eastAsia"/>
          <w:color w:val="000000" w:themeColor="text1"/>
          <w:sz w:val="32"/>
          <w:szCs w:val="32"/>
        </w:rPr>
        <w:t>十六、调撤率</w:t>
      </w:r>
    </w:p>
    <w:p w:rsidR="001664CE" w:rsidRPr="00D949E9" w:rsidRDefault="001664CE" w:rsidP="001664CE">
      <w:pPr>
        <w:spacing w:line="360" w:lineRule="auto"/>
        <w:ind w:firstLine="640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按照省法院目标责任制考核的要求，调撤率按年度进行考核，年度调撤率达到全省均值以上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的给予加分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，每高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于平均值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0.1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个百分点加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0.01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分，加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分以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0.5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分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为限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。1-</w:t>
      </w:r>
      <w:r w:rsidR="005522BA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9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月份，全市法院调解结案数</w:t>
      </w:r>
      <w:r w:rsidR="005522B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8257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件，撤诉结案数</w:t>
      </w:r>
      <w:r w:rsidR="005522B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8717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件，一审、二审和再审结案数为</w:t>
      </w:r>
      <w:r w:rsidR="005522B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45956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件，调撤率为</w:t>
      </w:r>
      <w:r w:rsidR="005522B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36.94</w:t>
      </w:r>
      <w:r w:rsidRPr="00D949E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="005522B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，市中院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调解结案数</w:t>
      </w:r>
      <w:r w:rsidR="005522B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178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件，撤诉结案数</w:t>
      </w:r>
      <w:r w:rsidR="005522B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532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件，一审、二审、再审结案数</w:t>
      </w:r>
      <w:r w:rsidR="005522B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4779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件，撤</w:t>
      </w:r>
      <w:r w:rsidR="000331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率为</w:t>
      </w:r>
      <w:r w:rsidR="005522B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14.86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 w:rsidRPr="00D949E9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。</w:t>
      </w:r>
    </w:p>
    <w:p w:rsidR="001664CE" w:rsidRDefault="001664CE" w:rsidP="001664CE">
      <w:pPr>
        <w:spacing w:line="360" w:lineRule="auto"/>
        <w:ind w:firstLine="645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十七、</w:t>
      </w:r>
      <w:r w:rsidRPr="00E23E4A">
        <w:rPr>
          <w:rFonts w:ascii="黑体" w:eastAsia="黑体" w:hAnsi="黑体" w:hint="eastAsia"/>
          <w:color w:val="000000" w:themeColor="text1"/>
          <w:sz w:val="32"/>
          <w:szCs w:val="32"/>
        </w:rPr>
        <w:t>电子卷宗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制作情况</w:t>
      </w:r>
    </w:p>
    <w:p w:rsidR="001664CE" w:rsidRDefault="005522BA" w:rsidP="008837B3">
      <w:pPr>
        <w:spacing w:line="360" w:lineRule="auto"/>
        <w:ind w:firstLine="645"/>
        <w:rPr>
          <w:rFonts w:ascii="仿宋_GB2312" w:eastAsia="仿宋_GB2312" w:hAnsi="仿宋_GB2312" w:cs="仿宋_GB2312"/>
          <w:bCs/>
          <w:color w:val="000000"/>
          <w:kern w:val="2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1-9</w:t>
      </w:r>
      <w:r w:rsidR="001664CE" w:rsidRPr="00E23E4A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月，</w:t>
      </w:r>
      <w:r w:rsidR="001664CE" w:rsidRPr="00C7035D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全市法院结案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55380</w:t>
      </w:r>
      <w:r w:rsidR="001664CE" w:rsidRPr="00C7035D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件，结案案件制作电子卷宗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lastRenderedPageBreak/>
        <w:t>45747</w:t>
      </w:r>
      <w:r w:rsidR="001664CE" w:rsidRPr="00C7035D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件，电子卷宗制作率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82.61</w:t>
      </w:r>
      <w:r w:rsidR="001664CE" w:rsidRPr="00C7035D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，暂未达到电子卷宗制作率100%的要求</w:t>
      </w:r>
      <w:r w:rsidR="001664CE" w:rsidRPr="00C7035D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。各基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层法院电子卷宗制作率由高到低排序为：农安法院99.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98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%、双阳法院99.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92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%、榆树法院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99.02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%、德惠法院9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6.05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%、九台法院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95.27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南关法院92.30%、宽城法院90.38%、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高新法院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88.46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%、汽开法院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79.06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%、净月法院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71.48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%、绿园法院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55.24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%、二道法院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52.98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经开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法院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51.97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、朝阳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法院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44.42</w:t>
      </w:r>
      <w:r w:rsidR="001664CE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%。</w:t>
      </w:r>
    </w:p>
    <w:p w:rsidR="001664CE" w:rsidRPr="00E23E4A" w:rsidRDefault="001664CE" w:rsidP="008837B3">
      <w:pPr>
        <w:spacing w:line="360" w:lineRule="auto"/>
        <w:ind w:firstLine="645"/>
        <w:rPr>
          <w:rFonts w:ascii="仿宋_GB2312" w:eastAsia="仿宋_GB2312" w:hAnsi="仿宋_GB2312" w:cs="仿宋_GB2312"/>
          <w:bCs/>
          <w:color w:val="000000"/>
          <w:kern w:val="21"/>
          <w:sz w:val="32"/>
          <w:szCs w:val="32"/>
        </w:rPr>
      </w:pPr>
      <w:r w:rsidRPr="00C7035D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市中院结案</w:t>
      </w:r>
      <w:r w:rsidR="00EF7D01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8535</w:t>
      </w:r>
      <w:r w:rsidRPr="00C7035D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，结案案件制作电子卷宗</w:t>
      </w:r>
      <w:r w:rsidR="00EF7D01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7998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件，电子卷宗制作率</w:t>
      </w:r>
      <w:r w:rsidR="00EF7D01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93.71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%。各部门电子卷宗制作率由高到低排序为：院长100%、</w:t>
      </w:r>
      <w:r w:rsidR="00EF7D01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刑一庭100%、民一庭99.76%、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民二庭</w:t>
      </w:r>
      <w:r w:rsidR="00EF7D01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99.75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</w:t>
      </w:r>
      <w:r w:rsidR="00EF7D01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行政庭99.60%、刑二庭99.22%、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审监二庭99.</w:t>
      </w:r>
      <w:r w:rsidR="00925521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06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%、民四庭</w:t>
      </w:r>
      <w:r w:rsidR="00925521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98.99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</w:t>
      </w:r>
      <w:r w:rsidR="00925521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民三庭98.91%、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民五庭</w:t>
      </w:r>
      <w:r w:rsidR="00925521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98.74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%、审监一庭</w:t>
      </w:r>
      <w:r w:rsidR="00925521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87.83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%、立案一庭</w:t>
      </w:r>
      <w:r w:rsidR="00925521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85.34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%、司辅办48.8</w:t>
      </w:r>
      <w:r w:rsidR="00925521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%。全市法院应强化电子卷宗制作率，</w:t>
      </w:r>
      <w:r w:rsidR="00033122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要达到纸质卷宗和电子卷宗同步形成、同步归档，</w:t>
      </w: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为日后电子卷宗深入应用，更好服务审判打下良好基础。</w:t>
      </w:r>
    </w:p>
    <w:p w:rsidR="001664CE" w:rsidRDefault="001664CE" w:rsidP="00033122">
      <w:pPr>
        <w:spacing w:beforeLines="50" w:line="360" w:lineRule="auto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十八、审委会工作情况</w:t>
      </w:r>
    </w:p>
    <w:p w:rsidR="008D3813" w:rsidRPr="00AE0E59" w:rsidRDefault="00CA07A1" w:rsidP="00C40539">
      <w:pPr>
        <w:spacing w:line="360" w:lineRule="auto"/>
        <w:ind w:firstLineChars="196" w:firstLine="627"/>
        <w:rPr>
          <w:rFonts w:ascii="仿宋_GB2312" w:eastAsia="仿宋_GB2312" w:hAnsi="仿宋_GB2312" w:cs="仿宋_GB2312"/>
          <w:bCs/>
          <w:color w:val="000000" w:themeColor="text1"/>
          <w:kern w:val="2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1-9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月，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全市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法院共召开审委会全体会议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1</w:t>
      </w:r>
      <w:r w:rsidR="000B7F16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95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次，同比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减少</w:t>
      </w:r>
      <w:r w:rsidR="000B7F16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18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次，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下降</w:t>
      </w:r>
      <w:r w:rsidR="000B7F16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10.17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%；研究案件</w:t>
      </w:r>
      <w:r w:rsidR="000B7F16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750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件，同比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增加19</w:t>
      </w:r>
      <w:r w:rsidR="000B7F16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6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件，增加</w:t>
      </w:r>
      <w:r w:rsidR="000B7F16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35.38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；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研究文件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议题</w:t>
      </w:r>
      <w:r w:rsidR="000B7F16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77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件，同比增加</w:t>
      </w:r>
      <w:r w:rsidR="008D3813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25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件，</w:t>
      </w:r>
      <w:r w:rsidR="008D3813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上升48.08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%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。其中，市中院共召开审委会</w:t>
      </w:r>
      <w:r w:rsidR="008D3813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28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次，同比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减少</w:t>
      </w:r>
      <w:r w:rsidR="008D3813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2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次，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下降</w:t>
      </w:r>
      <w:r w:rsidR="008D3813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6.67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；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研究案件</w:t>
      </w:r>
      <w:r w:rsidR="008D3813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223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件，同比</w:t>
      </w:r>
      <w:r w:rsidR="008D3813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增加44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件，</w:t>
      </w:r>
      <w:r w:rsidR="008D3813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上升24.58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%；研究文件议题</w:t>
      </w:r>
      <w:r w:rsidR="001664CE" w:rsidRPr="001C4315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lastRenderedPageBreak/>
        <w:t>8件，同比减少</w:t>
      </w:r>
      <w:r w:rsidR="008D3813">
        <w:rPr>
          <w:rFonts w:ascii="仿宋_GB2312" w:eastAsia="仿宋_GB2312" w:hAnsi="仿宋_GB2312" w:cs="仿宋_GB2312" w:hint="eastAsia"/>
          <w:bCs/>
          <w:color w:val="000000"/>
          <w:kern w:val="21"/>
          <w:sz w:val="32"/>
          <w:szCs w:val="32"/>
        </w:rPr>
        <w:t>6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件，</w:t>
      </w:r>
      <w:r w:rsidR="008D3813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下降42.86</w:t>
      </w:r>
      <w:r w:rsidR="001664CE" w:rsidRPr="001C4315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%。</w:t>
      </w:r>
      <w:r w:rsidR="008D3813" w:rsidRPr="008D3813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从数据分析看，与去年同期相比，全市法院召开审委会次数</w:t>
      </w:r>
      <w:r w:rsidR="00C40539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有所减少</w:t>
      </w:r>
      <w:r w:rsidR="008D3813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，</w:t>
      </w:r>
      <w:r w:rsidR="008D3813" w:rsidRPr="008D3813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研讨案件数量</w:t>
      </w:r>
      <w:r w:rsidR="00C40539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同比</w:t>
      </w:r>
      <w:r w:rsidR="008D3813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上涨</w:t>
      </w:r>
      <w:r w:rsidR="00C40539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的同时</w:t>
      </w:r>
      <w:r w:rsidR="008D3813" w:rsidRPr="008D3813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，研讨文件</w:t>
      </w:r>
      <w:r w:rsidR="00C40539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议题</w:t>
      </w:r>
      <w:r w:rsidR="008D3813" w:rsidRPr="008D3813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数量同比</w:t>
      </w:r>
      <w:r w:rsidR="008D3813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大幅度</w:t>
      </w:r>
      <w:r w:rsidR="008D3813" w:rsidRPr="008D3813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增加，同时，审委会研究大量评查案件，研究审判运行态势，反映出审委会职能发生转变。</w:t>
      </w:r>
      <w:r w:rsidR="00C40539">
        <w:rPr>
          <w:rFonts w:ascii="仿宋_GB2312" w:eastAsia="仿宋_GB2312" w:hAnsi="仿宋_GB2312" w:cs="仿宋_GB2312" w:hint="eastAsia"/>
          <w:bCs/>
          <w:color w:val="000000" w:themeColor="text1"/>
          <w:kern w:val="21"/>
          <w:sz w:val="32"/>
          <w:szCs w:val="32"/>
        </w:rPr>
        <w:t>全市法院应继续加强对审委会委员出席率和议事质量的考评，确保审委会规范运行。</w:t>
      </w:r>
    </w:p>
    <w:p w:rsidR="008D3813" w:rsidRPr="008D3813" w:rsidRDefault="008D3813" w:rsidP="008837B3">
      <w:pPr>
        <w:spacing w:line="360" w:lineRule="auto"/>
        <w:ind w:firstLineChars="196" w:firstLine="627"/>
        <w:rPr>
          <w:rFonts w:ascii="仿宋_GB2312" w:eastAsia="仿宋_GB2312" w:hAnsi="仿宋_GB2312" w:cs="仿宋_GB2312"/>
          <w:bCs/>
          <w:color w:val="000000"/>
          <w:kern w:val="21"/>
          <w:sz w:val="32"/>
          <w:szCs w:val="32"/>
        </w:rPr>
      </w:pPr>
    </w:p>
    <w:p w:rsidR="001664CE" w:rsidRDefault="001664CE" w:rsidP="008837B3">
      <w:pPr>
        <w:widowControl/>
        <w:spacing w:line="360" w:lineRule="auto"/>
        <w:ind w:right="160"/>
        <w:jc w:val="right"/>
        <w:rPr>
          <w:rFonts w:ascii="仿宋_GB2312" w:eastAsia="仿宋_GB2312" w:hAnsi="仿宋_GB2312" w:cs="仿宋_GB2312"/>
          <w:sz w:val="32"/>
        </w:rPr>
      </w:pPr>
    </w:p>
    <w:p w:rsidR="001664CE" w:rsidRDefault="001664CE" w:rsidP="008837B3">
      <w:pPr>
        <w:widowControl/>
        <w:spacing w:line="360" w:lineRule="auto"/>
        <w:ind w:right="160"/>
        <w:jc w:val="right"/>
        <w:rPr>
          <w:rFonts w:ascii="仿宋_GB2312" w:eastAsia="仿宋_GB2312" w:hAnsi="仿宋_GB2312" w:cs="仿宋_GB2312"/>
          <w:sz w:val="32"/>
        </w:rPr>
      </w:pPr>
    </w:p>
    <w:p w:rsidR="001664CE" w:rsidRDefault="001664CE" w:rsidP="008837B3">
      <w:pPr>
        <w:widowControl/>
        <w:spacing w:line="360" w:lineRule="auto"/>
        <w:ind w:right="160"/>
        <w:jc w:val="righ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吉林省长春市中级人民法院</w:t>
      </w:r>
    </w:p>
    <w:p w:rsidR="001664CE" w:rsidRDefault="001664CE" w:rsidP="008837B3">
      <w:pPr>
        <w:widowControl/>
        <w:spacing w:line="360" w:lineRule="auto"/>
        <w:ind w:right="800"/>
        <w:jc w:val="righ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2018年</w:t>
      </w:r>
      <w:r w:rsidR="008D3813">
        <w:rPr>
          <w:rFonts w:ascii="仿宋_GB2312" w:eastAsia="仿宋_GB2312" w:hAnsi="仿宋_GB2312" w:cs="仿宋_GB2312" w:hint="eastAsia"/>
          <w:sz w:val="32"/>
        </w:rPr>
        <w:t>10</w:t>
      </w:r>
      <w:r>
        <w:rPr>
          <w:rFonts w:ascii="仿宋_GB2312" w:eastAsia="仿宋_GB2312" w:hAnsi="仿宋_GB2312" w:cs="仿宋_GB2312" w:hint="eastAsia"/>
          <w:sz w:val="32"/>
        </w:rPr>
        <w:t>月</w:t>
      </w:r>
      <w:r w:rsidR="008D3813">
        <w:rPr>
          <w:rFonts w:ascii="仿宋_GB2312" w:eastAsia="仿宋_GB2312" w:hAnsi="仿宋_GB2312" w:cs="仿宋_GB2312" w:hint="eastAsia"/>
          <w:sz w:val="32"/>
        </w:rPr>
        <w:t>19</w:t>
      </w:r>
      <w:r>
        <w:rPr>
          <w:rFonts w:ascii="仿宋_GB2312" w:eastAsia="仿宋_GB2312" w:hAnsi="仿宋_GB2312" w:cs="仿宋_GB2312" w:hint="eastAsia"/>
          <w:sz w:val="32"/>
        </w:rPr>
        <w:t>日</w:t>
      </w:r>
    </w:p>
    <w:sectPr w:rsidR="001664CE" w:rsidSect="00E55643">
      <w:footerReference w:type="even" r:id="rId10"/>
      <w:footerReference w:type="default" r:id="rId11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B3" w:rsidRDefault="002667B3" w:rsidP="00C946AC">
      <w:r>
        <w:separator/>
      </w:r>
    </w:p>
  </w:endnote>
  <w:endnote w:type="continuationSeparator" w:id="1">
    <w:p w:rsidR="002667B3" w:rsidRDefault="002667B3" w:rsidP="00C9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9221"/>
      <w:docPartObj>
        <w:docPartGallery w:val="Page Numbers (Bottom of Page)"/>
        <w:docPartUnique/>
      </w:docPartObj>
    </w:sdtPr>
    <w:sdtContent>
      <w:p w:rsidR="004E6440" w:rsidRDefault="003E064F">
        <w:pPr>
          <w:pStyle w:val="a4"/>
        </w:pPr>
        <w:r w:rsidRPr="00DE0610">
          <w:rPr>
            <w:rFonts w:asciiTheme="minorEastAsia" w:hAnsiTheme="minorEastAsia"/>
            <w:sz w:val="28"/>
            <w:szCs w:val="28"/>
          </w:rPr>
          <w:fldChar w:fldCharType="begin"/>
        </w:r>
        <w:r w:rsidR="004E6440" w:rsidRPr="00DE0610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E0610">
          <w:rPr>
            <w:rFonts w:asciiTheme="minorEastAsia" w:hAnsiTheme="minorEastAsia"/>
            <w:sz w:val="28"/>
            <w:szCs w:val="28"/>
          </w:rPr>
          <w:fldChar w:fldCharType="separate"/>
        </w:r>
        <w:r w:rsidR="004E6440" w:rsidRPr="004E79B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E6440">
          <w:rPr>
            <w:rFonts w:asciiTheme="minorEastAsia" w:hAnsiTheme="minorEastAsia"/>
            <w:noProof/>
            <w:sz w:val="28"/>
            <w:szCs w:val="28"/>
          </w:rPr>
          <w:t xml:space="preserve"> 60 -</w:t>
        </w:r>
        <w:r w:rsidRPr="00DE061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E6440" w:rsidRDefault="004E644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3220"/>
      <w:docPartObj>
        <w:docPartGallery w:val="Page Numbers (Bottom of Page)"/>
        <w:docPartUnique/>
      </w:docPartObj>
    </w:sdtPr>
    <w:sdtContent>
      <w:p w:rsidR="004E6440" w:rsidRDefault="003E064F">
        <w:pPr>
          <w:pStyle w:val="a4"/>
          <w:jc w:val="center"/>
        </w:pPr>
        <w:fldSimple w:instr=" PAGE   \* MERGEFORMAT ">
          <w:r w:rsidR="00033122" w:rsidRPr="00033122">
            <w:rPr>
              <w:noProof/>
              <w:lang w:val="zh-CN"/>
            </w:rPr>
            <w:t>-</w:t>
          </w:r>
          <w:r w:rsidR="00033122">
            <w:rPr>
              <w:noProof/>
            </w:rPr>
            <w:t xml:space="preserve"> 11 -</w:t>
          </w:r>
        </w:fldSimple>
      </w:p>
    </w:sdtContent>
  </w:sdt>
  <w:p w:rsidR="004E6440" w:rsidRDefault="004E644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40" w:rsidRDefault="003E064F">
    <w:pPr>
      <w:pStyle w:val="a4"/>
    </w:pPr>
    <w:r w:rsidRPr="00B7722F">
      <w:rPr>
        <w:rFonts w:asciiTheme="minorEastAsia" w:hAnsiTheme="minorEastAsia"/>
        <w:sz w:val="28"/>
        <w:szCs w:val="28"/>
      </w:rPr>
      <w:fldChar w:fldCharType="begin"/>
    </w:r>
    <w:r w:rsidR="004E6440" w:rsidRPr="00B7722F">
      <w:rPr>
        <w:rFonts w:asciiTheme="minorEastAsia" w:hAnsiTheme="minorEastAsia"/>
        <w:sz w:val="28"/>
        <w:szCs w:val="28"/>
      </w:rPr>
      <w:instrText xml:space="preserve"> PAGE   \* MERGEFORMAT </w:instrText>
    </w:r>
    <w:r w:rsidRPr="00B7722F">
      <w:rPr>
        <w:rFonts w:asciiTheme="minorEastAsia" w:hAnsiTheme="minorEastAsia"/>
        <w:sz w:val="28"/>
        <w:szCs w:val="28"/>
      </w:rPr>
      <w:fldChar w:fldCharType="separate"/>
    </w:r>
    <w:r w:rsidR="004E6440" w:rsidRPr="004E79B1">
      <w:rPr>
        <w:rFonts w:asciiTheme="minorEastAsia" w:hAnsiTheme="minorEastAsia"/>
        <w:noProof/>
        <w:sz w:val="28"/>
        <w:szCs w:val="28"/>
        <w:lang w:val="zh-CN"/>
      </w:rPr>
      <w:t>-</w:t>
    </w:r>
    <w:r w:rsidR="004E6440">
      <w:rPr>
        <w:rFonts w:asciiTheme="minorEastAsia" w:hAnsiTheme="minorEastAsia"/>
        <w:noProof/>
        <w:sz w:val="28"/>
        <w:szCs w:val="28"/>
      </w:rPr>
      <w:t xml:space="preserve"> 62 -</w:t>
    </w:r>
    <w:r w:rsidRPr="00B7722F">
      <w:rPr>
        <w:rFonts w:asciiTheme="minorEastAsia" w:hAnsiTheme="minorEastAsia"/>
        <w:sz w:val="28"/>
        <w:szCs w:val="28"/>
      </w:rPr>
      <w:fldChar w:fldCharType="end"/>
    </w:r>
  </w:p>
  <w:p w:rsidR="004E6440" w:rsidRDefault="004E644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40" w:rsidRDefault="003E064F">
    <w:pPr>
      <w:pStyle w:val="a4"/>
      <w:jc w:val="right"/>
    </w:pPr>
    <w:r w:rsidRPr="00B7722F">
      <w:rPr>
        <w:rFonts w:asciiTheme="minorEastAsia" w:hAnsiTheme="minorEastAsia"/>
        <w:sz w:val="28"/>
        <w:szCs w:val="28"/>
      </w:rPr>
      <w:fldChar w:fldCharType="begin"/>
    </w:r>
    <w:r w:rsidR="004E6440" w:rsidRPr="00B7722F">
      <w:rPr>
        <w:rFonts w:asciiTheme="minorEastAsia" w:hAnsiTheme="minorEastAsia"/>
        <w:sz w:val="28"/>
        <w:szCs w:val="28"/>
      </w:rPr>
      <w:instrText xml:space="preserve"> PAGE   \* MERGEFORMAT </w:instrText>
    </w:r>
    <w:r w:rsidRPr="00B7722F">
      <w:rPr>
        <w:rFonts w:asciiTheme="minorEastAsia" w:hAnsiTheme="minorEastAsia"/>
        <w:sz w:val="28"/>
        <w:szCs w:val="28"/>
      </w:rPr>
      <w:fldChar w:fldCharType="separate"/>
    </w:r>
    <w:r w:rsidR="00033122" w:rsidRPr="00033122">
      <w:rPr>
        <w:rFonts w:asciiTheme="minorEastAsia" w:hAnsiTheme="minorEastAsia"/>
        <w:noProof/>
        <w:sz w:val="28"/>
        <w:szCs w:val="28"/>
        <w:lang w:val="zh-CN"/>
      </w:rPr>
      <w:t>-</w:t>
    </w:r>
    <w:r w:rsidR="00033122">
      <w:rPr>
        <w:rFonts w:asciiTheme="minorEastAsia" w:hAnsiTheme="minorEastAsia"/>
        <w:noProof/>
        <w:sz w:val="28"/>
        <w:szCs w:val="28"/>
      </w:rPr>
      <w:t xml:space="preserve"> 25 -</w:t>
    </w:r>
    <w:r w:rsidRPr="00B7722F">
      <w:rPr>
        <w:rFonts w:asciiTheme="minorEastAsia" w:hAnsiTheme="minorEastAsia"/>
        <w:sz w:val="28"/>
        <w:szCs w:val="28"/>
      </w:rPr>
      <w:fldChar w:fldCharType="end"/>
    </w:r>
  </w:p>
  <w:p w:rsidR="004E6440" w:rsidRDefault="004E64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B3" w:rsidRDefault="002667B3" w:rsidP="00C946AC">
      <w:r>
        <w:separator/>
      </w:r>
    </w:p>
  </w:footnote>
  <w:footnote w:type="continuationSeparator" w:id="1">
    <w:p w:rsidR="002667B3" w:rsidRDefault="002667B3" w:rsidP="00C94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362C"/>
    <w:multiLevelType w:val="hybridMultilevel"/>
    <w:tmpl w:val="5298215E"/>
    <w:lvl w:ilvl="0" w:tplc="06485C6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4CE"/>
    <w:rsid w:val="00000995"/>
    <w:rsid w:val="0000421E"/>
    <w:rsid w:val="0000521E"/>
    <w:rsid w:val="00007577"/>
    <w:rsid w:val="000166AE"/>
    <w:rsid w:val="0002072D"/>
    <w:rsid w:val="00030898"/>
    <w:rsid w:val="00031525"/>
    <w:rsid w:val="00033122"/>
    <w:rsid w:val="000407B2"/>
    <w:rsid w:val="00041E71"/>
    <w:rsid w:val="00047D8F"/>
    <w:rsid w:val="00051666"/>
    <w:rsid w:val="0005485F"/>
    <w:rsid w:val="00054CC2"/>
    <w:rsid w:val="00057B00"/>
    <w:rsid w:val="00083B34"/>
    <w:rsid w:val="00086794"/>
    <w:rsid w:val="00091686"/>
    <w:rsid w:val="000A690E"/>
    <w:rsid w:val="000B1603"/>
    <w:rsid w:val="000B2A85"/>
    <w:rsid w:val="000B7F16"/>
    <w:rsid w:val="000D084E"/>
    <w:rsid w:val="000E0395"/>
    <w:rsid w:val="000E2C15"/>
    <w:rsid w:val="000F2866"/>
    <w:rsid w:val="000F753F"/>
    <w:rsid w:val="00102F18"/>
    <w:rsid w:val="00114844"/>
    <w:rsid w:val="00117DA2"/>
    <w:rsid w:val="001257FA"/>
    <w:rsid w:val="001310FD"/>
    <w:rsid w:val="001352F4"/>
    <w:rsid w:val="0014136B"/>
    <w:rsid w:val="00151795"/>
    <w:rsid w:val="001643A8"/>
    <w:rsid w:val="001664CE"/>
    <w:rsid w:val="00180C96"/>
    <w:rsid w:val="00190932"/>
    <w:rsid w:val="001A029D"/>
    <w:rsid w:val="001B3D0D"/>
    <w:rsid w:val="001B70D7"/>
    <w:rsid w:val="001C2361"/>
    <w:rsid w:val="001C36C7"/>
    <w:rsid w:val="001C5588"/>
    <w:rsid w:val="001C5986"/>
    <w:rsid w:val="001C5E09"/>
    <w:rsid w:val="001C7078"/>
    <w:rsid w:val="001D0051"/>
    <w:rsid w:val="001D227A"/>
    <w:rsid w:val="001D254F"/>
    <w:rsid w:val="001D5C6D"/>
    <w:rsid w:val="001F49F0"/>
    <w:rsid w:val="002046AC"/>
    <w:rsid w:val="002059CC"/>
    <w:rsid w:val="00214236"/>
    <w:rsid w:val="0022261E"/>
    <w:rsid w:val="00223FD0"/>
    <w:rsid w:val="002247BE"/>
    <w:rsid w:val="00233B07"/>
    <w:rsid w:val="00244ECF"/>
    <w:rsid w:val="002612F3"/>
    <w:rsid w:val="0026134D"/>
    <w:rsid w:val="002667B3"/>
    <w:rsid w:val="0028068F"/>
    <w:rsid w:val="00287DC3"/>
    <w:rsid w:val="0029461E"/>
    <w:rsid w:val="002A214C"/>
    <w:rsid w:val="002A5CA6"/>
    <w:rsid w:val="002B3EB1"/>
    <w:rsid w:val="002B740A"/>
    <w:rsid w:val="002C58BF"/>
    <w:rsid w:val="002C60B7"/>
    <w:rsid w:val="002D0105"/>
    <w:rsid w:val="002E468E"/>
    <w:rsid w:val="002E4F95"/>
    <w:rsid w:val="002F101E"/>
    <w:rsid w:val="003121ED"/>
    <w:rsid w:val="00322707"/>
    <w:rsid w:val="00326EED"/>
    <w:rsid w:val="00337AB4"/>
    <w:rsid w:val="00340084"/>
    <w:rsid w:val="0035688D"/>
    <w:rsid w:val="00370DB9"/>
    <w:rsid w:val="0037349C"/>
    <w:rsid w:val="00373637"/>
    <w:rsid w:val="00385410"/>
    <w:rsid w:val="003B1E0B"/>
    <w:rsid w:val="003C4852"/>
    <w:rsid w:val="003C5282"/>
    <w:rsid w:val="003C6F95"/>
    <w:rsid w:val="003C75F0"/>
    <w:rsid w:val="003D682F"/>
    <w:rsid w:val="003E064F"/>
    <w:rsid w:val="003F40C9"/>
    <w:rsid w:val="003F7C96"/>
    <w:rsid w:val="00404FEB"/>
    <w:rsid w:val="00413CF2"/>
    <w:rsid w:val="00422F22"/>
    <w:rsid w:val="004261F6"/>
    <w:rsid w:val="00430630"/>
    <w:rsid w:val="004421B5"/>
    <w:rsid w:val="00445BE8"/>
    <w:rsid w:val="00463A21"/>
    <w:rsid w:val="00470487"/>
    <w:rsid w:val="00472AD1"/>
    <w:rsid w:val="004753A7"/>
    <w:rsid w:val="004775AE"/>
    <w:rsid w:val="004A52C9"/>
    <w:rsid w:val="004B0271"/>
    <w:rsid w:val="004B632C"/>
    <w:rsid w:val="004E020C"/>
    <w:rsid w:val="004E6440"/>
    <w:rsid w:val="004F301B"/>
    <w:rsid w:val="004F5342"/>
    <w:rsid w:val="00503AF1"/>
    <w:rsid w:val="00517F76"/>
    <w:rsid w:val="005207FB"/>
    <w:rsid w:val="00522553"/>
    <w:rsid w:val="00532BC3"/>
    <w:rsid w:val="00532DB2"/>
    <w:rsid w:val="00536A61"/>
    <w:rsid w:val="005522BA"/>
    <w:rsid w:val="00557DCE"/>
    <w:rsid w:val="00576943"/>
    <w:rsid w:val="00580901"/>
    <w:rsid w:val="0058741D"/>
    <w:rsid w:val="0058795A"/>
    <w:rsid w:val="005B3BCE"/>
    <w:rsid w:val="005B52F3"/>
    <w:rsid w:val="005C31AB"/>
    <w:rsid w:val="005C6E6A"/>
    <w:rsid w:val="005D617C"/>
    <w:rsid w:val="005E4D20"/>
    <w:rsid w:val="005F14FF"/>
    <w:rsid w:val="005F3368"/>
    <w:rsid w:val="00604603"/>
    <w:rsid w:val="00612798"/>
    <w:rsid w:val="0061501F"/>
    <w:rsid w:val="006265D8"/>
    <w:rsid w:val="00636364"/>
    <w:rsid w:val="0065320B"/>
    <w:rsid w:val="00675A02"/>
    <w:rsid w:val="006912B1"/>
    <w:rsid w:val="00693146"/>
    <w:rsid w:val="006B71C5"/>
    <w:rsid w:val="006C1B36"/>
    <w:rsid w:val="006C3955"/>
    <w:rsid w:val="006C3CC9"/>
    <w:rsid w:val="006C7ABE"/>
    <w:rsid w:val="006D1703"/>
    <w:rsid w:val="006E282D"/>
    <w:rsid w:val="006F5B4A"/>
    <w:rsid w:val="00743638"/>
    <w:rsid w:val="00747F49"/>
    <w:rsid w:val="007507F5"/>
    <w:rsid w:val="00755D6D"/>
    <w:rsid w:val="00763C17"/>
    <w:rsid w:val="00765E8B"/>
    <w:rsid w:val="00771DFA"/>
    <w:rsid w:val="0078361C"/>
    <w:rsid w:val="00791C7A"/>
    <w:rsid w:val="0079788D"/>
    <w:rsid w:val="007A5462"/>
    <w:rsid w:val="007B26E9"/>
    <w:rsid w:val="007C1333"/>
    <w:rsid w:val="007C38D7"/>
    <w:rsid w:val="007E1E90"/>
    <w:rsid w:val="007E7613"/>
    <w:rsid w:val="008026E8"/>
    <w:rsid w:val="00804FD5"/>
    <w:rsid w:val="008051F8"/>
    <w:rsid w:val="00805DD7"/>
    <w:rsid w:val="00816214"/>
    <w:rsid w:val="00824158"/>
    <w:rsid w:val="00826A40"/>
    <w:rsid w:val="0083341D"/>
    <w:rsid w:val="00833B6B"/>
    <w:rsid w:val="0083697C"/>
    <w:rsid w:val="00842FEA"/>
    <w:rsid w:val="00843A3B"/>
    <w:rsid w:val="00844101"/>
    <w:rsid w:val="008477C4"/>
    <w:rsid w:val="00857CC0"/>
    <w:rsid w:val="00877710"/>
    <w:rsid w:val="00882394"/>
    <w:rsid w:val="008837B3"/>
    <w:rsid w:val="00893C8E"/>
    <w:rsid w:val="008A2E2A"/>
    <w:rsid w:val="008A2EE5"/>
    <w:rsid w:val="008A6218"/>
    <w:rsid w:val="008D3813"/>
    <w:rsid w:val="008D5888"/>
    <w:rsid w:val="008F369B"/>
    <w:rsid w:val="008F7AF8"/>
    <w:rsid w:val="00903285"/>
    <w:rsid w:val="00907440"/>
    <w:rsid w:val="00920864"/>
    <w:rsid w:val="00925521"/>
    <w:rsid w:val="00926958"/>
    <w:rsid w:val="00947ED9"/>
    <w:rsid w:val="00952198"/>
    <w:rsid w:val="009663AB"/>
    <w:rsid w:val="00967FF4"/>
    <w:rsid w:val="009715DC"/>
    <w:rsid w:val="009718F8"/>
    <w:rsid w:val="0097211E"/>
    <w:rsid w:val="00973546"/>
    <w:rsid w:val="0098018E"/>
    <w:rsid w:val="00981A9E"/>
    <w:rsid w:val="009836F2"/>
    <w:rsid w:val="00984720"/>
    <w:rsid w:val="00986B22"/>
    <w:rsid w:val="0099611C"/>
    <w:rsid w:val="009A0A89"/>
    <w:rsid w:val="009C068F"/>
    <w:rsid w:val="009C53D6"/>
    <w:rsid w:val="009E45DF"/>
    <w:rsid w:val="009E7460"/>
    <w:rsid w:val="009F4775"/>
    <w:rsid w:val="009F6A63"/>
    <w:rsid w:val="00A01C7D"/>
    <w:rsid w:val="00A057D4"/>
    <w:rsid w:val="00A057FD"/>
    <w:rsid w:val="00A11561"/>
    <w:rsid w:val="00A317DC"/>
    <w:rsid w:val="00A47236"/>
    <w:rsid w:val="00A55920"/>
    <w:rsid w:val="00A643BD"/>
    <w:rsid w:val="00A75246"/>
    <w:rsid w:val="00A7546B"/>
    <w:rsid w:val="00A87F8C"/>
    <w:rsid w:val="00A918AB"/>
    <w:rsid w:val="00A94F48"/>
    <w:rsid w:val="00A97B77"/>
    <w:rsid w:val="00AA3FF0"/>
    <w:rsid w:val="00AA57A9"/>
    <w:rsid w:val="00AB77D8"/>
    <w:rsid w:val="00AC3B52"/>
    <w:rsid w:val="00AD4327"/>
    <w:rsid w:val="00AE0055"/>
    <w:rsid w:val="00AE1859"/>
    <w:rsid w:val="00AE3A8A"/>
    <w:rsid w:val="00AF7CC2"/>
    <w:rsid w:val="00B01AD8"/>
    <w:rsid w:val="00B03F9E"/>
    <w:rsid w:val="00B17FBE"/>
    <w:rsid w:val="00B41312"/>
    <w:rsid w:val="00B72487"/>
    <w:rsid w:val="00B7280C"/>
    <w:rsid w:val="00B845E6"/>
    <w:rsid w:val="00B87D3C"/>
    <w:rsid w:val="00BA3CA1"/>
    <w:rsid w:val="00BB2257"/>
    <w:rsid w:val="00BC11F4"/>
    <w:rsid w:val="00BC1738"/>
    <w:rsid w:val="00BC3ED5"/>
    <w:rsid w:val="00BF5A3F"/>
    <w:rsid w:val="00BF78F6"/>
    <w:rsid w:val="00C00287"/>
    <w:rsid w:val="00C01670"/>
    <w:rsid w:val="00C067D2"/>
    <w:rsid w:val="00C11505"/>
    <w:rsid w:val="00C174B0"/>
    <w:rsid w:val="00C2330A"/>
    <w:rsid w:val="00C25778"/>
    <w:rsid w:val="00C34876"/>
    <w:rsid w:val="00C40539"/>
    <w:rsid w:val="00C655E8"/>
    <w:rsid w:val="00C66FCC"/>
    <w:rsid w:val="00C75EB6"/>
    <w:rsid w:val="00C76DB9"/>
    <w:rsid w:val="00C90E83"/>
    <w:rsid w:val="00C946AC"/>
    <w:rsid w:val="00CA07A1"/>
    <w:rsid w:val="00CA67DE"/>
    <w:rsid w:val="00CB388B"/>
    <w:rsid w:val="00CC1941"/>
    <w:rsid w:val="00CC3E44"/>
    <w:rsid w:val="00CD0E97"/>
    <w:rsid w:val="00CE3847"/>
    <w:rsid w:val="00CF31A4"/>
    <w:rsid w:val="00CF5B55"/>
    <w:rsid w:val="00D11257"/>
    <w:rsid w:val="00D13571"/>
    <w:rsid w:val="00D17BF9"/>
    <w:rsid w:val="00D230DC"/>
    <w:rsid w:val="00D26739"/>
    <w:rsid w:val="00D30715"/>
    <w:rsid w:val="00D324F7"/>
    <w:rsid w:val="00D53355"/>
    <w:rsid w:val="00D64CF0"/>
    <w:rsid w:val="00D74941"/>
    <w:rsid w:val="00D75989"/>
    <w:rsid w:val="00D75B8C"/>
    <w:rsid w:val="00D85881"/>
    <w:rsid w:val="00DA484A"/>
    <w:rsid w:val="00DB4813"/>
    <w:rsid w:val="00DB49A4"/>
    <w:rsid w:val="00DC2C97"/>
    <w:rsid w:val="00DC3D17"/>
    <w:rsid w:val="00DE0666"/>
    <w:rsid w:val="00DF6B79"/>
    <w:rsid w:val="00E23F1F"/>
    <w:rsid w:val="00E425B7"/>
    <w:rsid w:val="00E4464C"/>
    <w:rsid w:val="00E55643"/>
    <w:rsid w:val="00E679E9"/>
    <w:rsid w:val="00E70E00"/>
    <w:rsid w:val="00E735AC"/>
    <w:rsid w:val="00E859E1"/>
    <w:rsid w:val="00E85F37"/>
    <w:rsid w:val="00E87C08"/>
    <w:rsid w:val="00E94ECB"/>
    <w:rsid w:val="00E96080"/>
    <w:rsid w:val="00EB2B4B"/>
    <w:rsid w:val="00EC269D"/>
    <w:rsid w:val="00EE7A76"/>
    <w:rsid w:val="00EF29C7"/>
    <w:rsid w:val="00EF2F40"/>
    <w:rsid w:val="00EF7D01"/>
    <w:rsid w:val="00F00203"/>
    <w:rsid w:val="00F3201D"/>
    <w:rsid w:val="00F43001"/>
    <w:rsid w:val="00F476A6"/>
    <w:rsid w:val="00F50102"/>
    <w:rsid w:val="00F52467"/>
    <w:rsid w:val="00F56867"/>
    <w:rsid w:val="00F663D8"/>
    <w:rsid w:val="00F83EB8"/>
    <w:rsid w:val="00F95BF2"/>
    <w:rsid w:val="00FA0D58"/>
    <w:rsid w:val="00FA2E00"/>
    <w:rsid w:val="00FC0B30"/>
    <w:rsid w:val="00FC5C8A"/>
    <w:rsid w:val="00FD1F55"/>
    <w:rsid w:val="00FE2591"/>
    <w:rsid w:val="00FE41CE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4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64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64CE"/>
    <w:rPr>
      <w:sz w:val="18"/>
      <w:szCs w:val="18"/>
    </w:rPr>
  </w:style>
  <w:style w:type="paragraph" w:styleId="a6">
    <w:name w:val="List Paragraph"/>
    <w:basedOn w:val="a"/>
    <w:uiPriority w:val="34"/>
    <w:qFormat/>
    <w:rsid w:val="001664C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1664C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664CE"/>
  </w:style>
  <w:style w:type="character" w:styleId="a8">
    <w:name w:val="Hyperlink"/>
    <w:basedOn w:val="a0"/>
    <w:uiPriority w:val="99"/>
    <w:semiHidden/>
    <w:unhideWhenUsed/>
    <w:rsid w:val="001664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664CE"/>
    <w:rPr>
      <w:color w:val="800080"/>
      <w:u w:val="single"/>
    </w:rPr>
  </w:style>
  <w:style w:type="paragraph" w:customStyle="1" w:styleId="font5">
    <w:name w:val="font5"/>
    <w:basedOn w:val="a"/>
    <w:rsid w:val="001664CE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1664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1664C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32"/>
      <w:szCs w:val="32"/>
    </w:rPr>
  </w:style>
  <w:style w:type="paragraph" w:customStyle="1" w:styleId="font8">
    <w:name w:val="font8"/>
    <w:basedOn w:val="a"/>
    <w:rsid w:val="001664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font9">
    <w:name w:val="font9"/>
    <w:basedOn w:val="a"/>
    <w:rsid w:val="001664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1664CE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18"/>
      <w:szCs w:val="18"/>
    </w:rPr>
  </w:style>
  <w:style w:type="paragraph" w:customStyle="1" w:styleId="xl63">
    <w:name w:val="xl63"/>
    <w:basedOn w:val="a"/>
    <w:rsid w:val="001664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166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66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166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1664C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8">
    <w:name w:val="xl68"/>
    <w:basedOn w:val="a"/>
    <w:rsid w:val="001664C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9">
    <w:name w:val="xl69"/>
    <w:basedOn w:val="a"/>
    <w:rsid w:val="001664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1664CE"/>
    <w:pPr>
      <w:widowControl/>
      <w:pBdr>
        <w:top w:val="single" w:sz="4" w:space="0" w:color="CCCCCC"/>
        <w:left w:val="single" w:sz="4" w:space="0" w:color="CCCCCC"/>
        <w:right w:val="single" w:sz="4" w:space="0" w:color="CCCCCC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1">
    <w:name w:val="xl71"/>
    <w:basedOn w:val="a"/>
    <w:rsid w:val="001664CE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3">
    <w:name w:val="xl73"/>
    <w:basedOn w:val="a"/>
    <w:rsid w:val="001664C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1664C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1664C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xl76">
    <w:name w:val="xl76"/>
    <w:basedOn w:val="a"/>
    <w:rsid w:val="001664C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7">
    <w:name w:val="xl77"/>
    <w:basedOn w:val="a"/>
    <w:rsid w:val="001664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664C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1664C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1664C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1664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8"/>
      <w:szCs w:val="18"/>
    </w:rPr>
  </w:style>
  <w:style w:type="character" w:customStyle="1" w:styleId="fontstyle01">
    <w:name w:val="fontstyle01"/>
    <w:basedOn w:val="a0"/>
    <w:qFormat/>
    <w:rsid w:val="001664CE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C3CF-8C9D-4760-B1EF-AE0998DC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25</Pages>
  <Words>1954</Words>
  <Characters>11141</Characters>
  <Application>Microsoft Office Word</Application>
  <DocSecurity>0</DocSecurity>
  <Lines>92</Lines>
  <Paragraphs>26</Paragraphs>
  <ScaleCrop>false</ScaleCrop>
  <Company>微软中国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绳继萍</dc:creator>
  <cp:lastModifiedBy>王傲</cp:lastModifiedBy>
  <cp:revision>9</cp:revision>
  <dcterms:created xsi:type="dcterms:W3CDTF">2018-10-22T03:20:00Z</dcterms:created>
  <dcterms:modified xsi:type="dcterms:W3CDTF">2018-10-29T03:06:00Z</dcterms:modified>
</cp:coreProperties>
</file>