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4F" w:rsidRPr="0064424F" w:rsidRDefault="0064424F" w:rsidP="0064424F">
      <w:pPr>
        <w:adjustRightInd w:val="0"/>
        <w:rPr>
          <w:rFonts w:ascii="黑体" w:eastAsia="黑体" w:hAnsi="宋体" w:cs="Arial"/>
          <w:kern w:val="0"/>
          <w:sz w:val="28"/>
          <w:szCs w:val="28"/>
        </w:rPr>
      </w:pPr>
      <w:r w:rsidRPr="0064424F">
        <w:rPr>
          <w:rFonts w:ascii="黑体" w:eastAsia="黑体" w:hAnsi="宋体" w:cs="Arial" w:hint="eastAsia"/>
          <w:kern w:val="0"/>
          <w:sz w:val="28"/>
          <w:szCs w:val="28"/>
        </w:rPr>
        <w:t>内部文件</w:t>
      </w:r>
      <w:r w:rsidRPr="0064424F">
        <w:rPr>
          <w:rFonts w:ascii="黑体" w:eastAsia="黑体" w:hAnsi="宋体" w:cs="Arial" w:hint="eastAsia"/>
          <w:kern w:val="0"/>
          <w:sz w:val="28"/>
          <w:szCs w:val="28"/>
        </w:rPr>
        <w:tab/>
      </w:r>
    </w:p>
    <w:p w:rsidR="0064424F" w:rsidRPr="0064424F" w:rsidRDefault="0064424F" w:rsidP="0064424F">
      <w:pPr>
        <w:adjustRightInd w:val="0"/>
        <w:rPr>
          <w:rFonts w:ascii="黑体" w:eastAsia="黑体" w:hAnsi="宋体" w:cs="Arial"/>
          <w:kern w:val="0"/>
          <w:sz w:val="28"/>
          <w:szCs w:val="28"/>
        </w:rPr>
      </w:pPr>
      <w:r w:rsidRPr="0064424F">
        <w:rPr>
          <w:rFonts w:ascii="黑体" w:eastAsia="黑体" w:hAnsi="宋体" w:cs="Arial" w:hint="eastAsia"/>
          <w:kern w:val="0"/>
          <w:sz w:val="28"/>
          <w:szCs w:val="28"/>
        </w:rPr>
        <w:t>切勿外传</w:t>
      </w:r>
    </w:p>
    <w:p w:rsidR="0064424F" w:rsidRPr="0064424F" w:rsidRDefault="0064424F" w:rsidP="0064424F">
      <w:pPr>
        <w:jc w:val="center"/>
        <w:rPr>
          <w:rFonts w:ascii="方正小标宋_GBK" w:eastAsia="方正小标宋_GBK"/>
          <w:color w:val="FF0000"/>
          <w:spacing w:val="-10"/>
          <w:w w:val="55"/>
          <w:sz w:val="110"/>
          <w:szCs w:val="110"/>
        </w:rPr>
      </w:pPr>
      <w:r w:rsidRPr="0064424F">
        <w:rPr>
          <w:rFonts w:ascii="方正小标宋_GBK" w:eastAsia="方正小标宋_GBK" w:hint="eastAsia"/>
          <w:color w:val="FF0000"/>
          <w:spacing w:val="-10"/>
          <w:w w:val="55"/>
          <w:sz w:val="110"/>
          <w:szCs w:val="110"/>
        </w:rPr>
        <w:t>吉林省长春市中级人民法院文件</w:t>
      </w:r>
    </w:p>
    <w:p w:rsidR="00EA267B" w:rsidRPr="00601067" w:rsidRDefault="007E5700" w:rsidP="00EA267B">
      <w:pPr>
        <w:spacing w:line="600" w:lineRule="exact"/>
        <w:jc w:val="center"/>
        <w:rPr>
          <w:rFonts w:ascii="仿宋_GB2312" w:eastAsia="仿宋_GB2312" w:hAnsi="仿宋" w:hint="eastAsia"/>
          <w:position w:val="12"/>
          <w:sz w:val="32"/>
          <w:szCs w:val="32"/>
        </w:rPr>
      </w:pPr>
      <w:r w:rsidRPr="00601067">
        <w:rPr>
          <w:rFonts w:ascii="仿宋_GB2312" w:eastAsia="仿宋_GB2312" w:hAnsi="宋体" w:hint="eastAsia"/>
          <w:noProof/>
          <w:position w:val="12"/>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95.1pt;margin-top:202.65pt;width:442.2pt;height:0;z-index:-251658752;mso-position-horizontal-relative:page;mso-position-vertical-relative:margin" o:connectortype="straight" strokecolor="red" strokeweight="2.25pt">
            <w10:wrap anchorx="page" anchory="margin"/>
          </v:shape>
        </w:pict>
      </w:r>
      <w:r w:rsidR="00EA267B" w:rsidRPr="00601067">
        <w:rPr>
          <w:rFonts w:ascii="仿宋_GB2312" w:eastAsia="仿宋_GB2312" w:hint="eastAsia"/>
          <w:position w:val="12"/>
          <w:sz w:val="32"/>
          <w:szCs w:val="32"/>
        </w:rPr>
        <w:t>长中法</w:t>
      </w:r>
      <w:r w:rsidR="00EA267B" w:rsidRPr="00601067">
        <w:rPr>
          <w:rFonts w:ascii="仿宋_GB2312" w:eastAsia="仿宋_GB2312" w:hAnsi="仿宋" w:hint="eastAsia"/>
          <w:position w:val="12"/>
          <w:sz w:val="32"/>
          <w:szCs w:val="32"/>
        </w:rPr>
        <w:t>〔2018〕122号</w:t>
      </w:r>
    </w:p>
    <w:p w:rsidR="0064424F" w:rsidRDefault="0064424F" w:rsidP="0064424F">
      <w:pPr>
        <w:spacing w:line="600" w:lineRule="exact"/>
        <w:jc w:val="center"/>
      </w:pPr>
    </w:p>
    <w:p w:rsidR="0064424F" w:rsidRDefault="0064424F" w:rsidP="0064424F">
      <w:pPr>
        <w:spacing w:line="720" w:lineRule="exact"/>
        <w:rPr>
          <w:rFonts w:ascii="方正小标宋_GBK" w:eastAsia="方正小标宋_GBK" w:hAnsi="宋体"/>
          <w:szCs w:val="32"/>
        </w:rPr>
      </w:pPr>
    </w:p>
    <w:p w:rsidR="0064424F" w:rsidRDefault="0064424F" w:rsidP="0064424F">
      <w:pPr>
        <w:spacing w:line="560" w:lineRule="exact"/>
        <w:jc w:val="center"/>
        <w:rPr>
          <w:rFonts w:ascii="宋体" w:hAnsi="宋体"/>
          <w:b/>
          <w:bCs/>
          <w:sz w:val="44"/>
          <w:szCs w:val="44"/>
        </w:rPr>
      </w:pPr>
      <w:r>
        <w:rPr>
          <w:rFonts w:ascii="宋体" w:hAnsi="宋体" w:hint="eastAsia"/>
          <w:b/>
          <w:bCs/>
          <w:sz w:val="44"/>
          <w:szCs w:val="44"/>
        </w:rPr>
        <w:t>长春市中级人民法院</w:t>
      </w:r>
      <w:r w:rsidRPr="00F02C12">
        <w:rPr>
          <w:rFonts w:ascii="宋体" w:hAnsi="宋体" w:hint="eastAsia"/>
          <w:b/>
          <w:bCs/>
          <w:sz w:val="44"/>
          <w:szCs w:val="44"/>
        </w:rPr>
        <w:t>关于进一步</w:t>
      </w:r>
    </w:p>
    <w:p w:rsidR="0064424F" w:rsidRDefault="0064424F" w:rsidP="0064424F">
      <w:pPr>
        <w:spacing w:line="560" w:lineRule="exact"/>
        <w:jc w:val="center"/>
        <w:rPr>
          <w:rFonts w:ascii="宋体" w:hAnsi="宋体"/>
          <w:b/>
          <w:bCs/>
          <w:sz w:val="44"/>
          <w:szCs w:val="44"/>
        </w:rPr>
      </w:pPr>
      <w:r w:rsidRPr="00F02C12">
        <w:rPr>
          <w:rFonts w:ascii="宋体" w:hAnsi="宋体" w:hint="eastAsia"/>
          <w:b/>
          <w:bCs/>
          <w:sz w:val="44"/>
          <w:szCs w:val="44"/>
        </w:rPr>
        <w:t>加强和规范入额院领导办案工作的通知</w:t>
      </w:r>
    </w:p>
    <w:p w:rsidR="0064424F" w:rsidRPr="00F02C12" w:rsidRDefault="0064424F" w:rsidP="0064424F">
      <w:pPr>
        <w:spacing w:line="560" w:lineRule="exact"/>
        <w:jc w:val="center"/>
        <w:rPr>
          <w:rFonts w:ascii="宋体" w:hAnsi="宋体"/>
          <w:b/>
          <w:bCs/>
          <w:sz w:val="44"/>
          <w:szCs w:val="44"/>
        </w:rPr>
      </w:pPr>
    </w:p>
    <w:p w:rsidR="0064424F" w:rsidRPr="001A3EFA" w:rsidRDefault="0064424F" w:rsidP="00EA267B">
      <w:pPr>
        <w:ind w:leftChars="135" w:left="283"/>
        <w:rPr>
          <w:rFonts w:ascii="仿宋_GB2312" w:eastAsia="仿宋_GB2312" w:hAnsi="仿宋"/>
          <w:sz w:val="32"/>
          <w:szCs w:val="32"/>
        </w:rPr>
      </w:pPr>
      <w:r w:rsidRPr="001A3EFA">
        <w:rPr>
          <w:rFonts w:ascii="仿宋_GB2312" w:eastAsia="仿宋_GB2312" w:hAnsi="仿宋" w:hint="eastAsia"/>
          <w:sz w:val="32"/>
          <w:szCs w:val="32"/>
        </w:rPr>
        <w:t>各县（市）区人民法院、本院各庭、处、室、局：</w:t>
      </w:r>
    </w:p>
    <w:p w:rsidR="0064424F" w:rsidRPr="001A3EFA" w:rsidRDefault="0064424F" w:rsidP="00EA267B">
      <w:pPr>
        <w:ind w:leftChars="135" w:left="283" w:firstLine="645"/>
        <w:rPr>
          <w:rFonts w:ascii="仿宋_GB2312" w:eastAsia="仿宋_GB2312"/>
          <w:color w:val="000000"/>
          <w:sz w:val="32"/>
          <w:szCs w:val="32"/>
        </w:rPr>
      </w:pPr>
      <w:r w:rsidRPr="001A3EFA">
        <w:rPr>
          <w:rFonts w:ascii="仿宋_GB2312" w:eastAsia="仿宋_GB2312" w:hint="eastAsia"/>
          <w:sz w:val="32"/>
          <w:szCs w:val="32"/>
        </w:rPr>
        <w:t>司法改革以来，全市法院认真贯彻落实中央关于入额院领导办案工作的部署要求，入额院领导积极履行审判职责，带头承办案件，入额院领导办案工作得到落实并取得了初步成效。</w:t>
      </w:r>
      <w:r w:rsidRPr="001A3EFA">
        <w:rPr>
          <w:rFonts w:ascii="仿宋_GB2312" w:eastAsia="仿宋_GB2312" w:hint="eastAsia"/>
          <w:color w:val="000000"/>
          <w:sz w:val="32"/>
          <w:szCs w:val="32"/>
        </w:rPr>
        <w:t>为进一步加强和规范全市法院入额院领导办案工作，构建全市法院入额院领导办案工作长效机制，将司法责任制落到实处，根据《吉林省高级人民法院关于进一步加强和规范入额院领导办案工作的通知》，现就有关工作要求通知如下：</w:t>
      </w:r>
    </w:p>
    <w:p w:rsidR="0064424F" w:rsidRPr="001A3EFA" w:rsidRDefault="0064424F" w:rsidP="00EA267B">
      <w:pPr>
        <w:ind w:leftChars="135" w:left="283" w:firstLineChars="196" w:firstLine="627"/>
        <w:rPr>
          <w:rFonts w:ascii="仿宋_GB2312" w:eastAsia="仿宋_GB2312"/>
          <w:color w:val="000000" w:themeColor="text1"/>
          <w:sz w:val="32"/>
          <w:szCs w:val="32"/>
        </w:rPr>
      </w:pPr>
      <w:r w:rsidRPr="001A3EFA">
        <w:rPr>
          <w:rFonts w:ascii="黑体" w:eastAsia="黑体" w:hAnsi="黑体" w:hint="eastAsia"/>
          <w:color w:val="000000"/>
          <w:sz w:val="32"/>
          <w:szCs w:val="32"/>
        </w:rPr>
        <w:t>一、进一步履行审判职责。</w:t>
      </w:r>
      <w:r w:rsidRPr="001A3EFA">
        <w:rPr>
          <w:rFonts w:ascii="仿宋_GB2312" w:eastAsia="仿宋_GB2312" w:hint="eastAsia"/>
          <w:sz w:val="32"/>
          <w:szCs w:val="32"/>
        </w:rPr>
        <w:t>入额院领导办案工作是司法改革的一项重要内容，也是全面落实司法责任制的重要举措。中政</w:t>
      </w:r>
      <w:r w:rsidRPr="001A3EFA">
        <w:rPr>
          <w:rFonts w:ascii="仿宋_GB2312" w:eastAsia="仿宋_GB2312" w:hint="eastAsia"/>
          <w:sz w:val="32"/>
          <w:szCs w:val="32"/>
        </w:rPr>
        <w:lastRenderedPageBreak/>
        <w:t>委及最高院、省高院明确要求入额院领导必须回归审判一线，带头办案。</w:t>
      </w:r>
      <w:r w:rsidRPr="001A3EFA">
        <w:rPr>
          <w:rFonts w:ascii="仿宋_GB2312" w:eastAsia="仿宋_GB2312" w:hint="eastAsia"/>
          <w:color w:val="000000" w:themeColor="text1"/>
          <w:sz w:val="32"/>
          <w:szCs w:val="32"/>
        </w:rPr>
        <w:t>入额院领导应当进一步提高对院领导办案工作重要性的认识，切实回归法官角色本位，积极履行审判职责，带头承办案件。</w:t>
      </w:r>
    </w:p>
    <w:p w:rsidR="0064424F" w:rsidRPr="001A3EFA" w:rsidRDefault="0064424F" w:rsidP="0050306C">
      <w:pPr>
        <w:ind w:leftChars="135" w:left="283" w:firstLineChars="205" w:firstLine="656"/>
      </w:pPr>
      <w:r w:rsidRPr="001A3EFA">
        <w:rPr>
          <w:rFonts w:ascii="黑体" w:eastAsia="黑体" w:hAnsi="黑体" w:hint="eastAsia"/>
          <w:color w:val="000000"/>
          <w:sz w:val="32"/>
          <w:szCs w:val="32"/>
        </w:rPr>
        <w:t>二、进一步规范承办案件类型。</w:t>
      </w:r>
      <w:r w:rsidRPr="001A3EFA">
        <w:rPr>
          <w:rFonts w:ascii="仿宋_GB2312" w:eastAsia="仿宋_GB2312" w:hint="eastAsia"/>
          <w:color w:val="000000"/>
          <w:sz w:val="32"/>
          <w:szCs w:val="32"/>
        </w:rPr>
        <w:t>入额院领导不仅应带头办案，更应带头承办重点类型案件，即被上级法院发回重审的案件，被上级法院指令再审的案件，检察机关提出抗诉、检察建议的案件，重大、疑难、复杂案件，新类型案件，在法律适用方面具有普遍指导意义的案件等。从2018年1月起，各院</w:t>
      </w:r>
      <w:r w:rsidRPr="001A3EFA">
        <w:rPr>
          <w:rFonts w:ascii="仿宋_GB2312" w:eastAsia="仿宋_GB2312" w:hint="eastAsia"/>
          <w:sz w:val="32"/>
          <w:szCs w:val="32"/>
        </w:rPr>
        <w:t>应做好案件甄别分流，将重点类型案件及时分至入额院领导名下承办</w:t>
      </w:r>
      <w:r w:rsidRPr="001A3EFA">
        <w:rPr>
          <w:rFonts w:ascii="仿宋_GB2312" w:eastAsia="仿宋_GB2312" w:hint="eastAsia"/>
          <w:color w:val="000000"/>
          <w:sz w:val="32"/>
          <w:szCs w:val="32"/>
        </w:rPr>
        <w:t>。</w:t>
      </w:r>
    </w:p>
    <w:p w:rsidR="0064424F" w:rsidRPr="001A3EFA" w:rsidRDefault="0064424F" w:rsidP="0050306C">
      <w:pPr>
        <w:ind w:leftChars="135" w:left="283" w:firstLineChars="206" w:firstLine="659"/>
        <w:rPr>
          <w:rFonts w:ascii="仿宋_GB2312" w:eastAsia="仿宋_GB2312"/>
          <w:color w:val="000000"/>
          <w:sz w:val="32"/>
          <w:szCs w:val="32"/>
        </w:rPr>
      </w:pPr>
      <w:r w:rsidRPr="001A3EFA">
        <w:rPr>
          <w:rFonts w:ascii="黑体" w:eastAsia="黑体" w:hAnsi="黑体" w:hint="eastAsia"/>
          <w:color w:val="000000"/>
          <w:sz w:val="32"/>
          <w:szCs w:val="32"/>
        </w:rPr>
        <w:t>三、进一步落实办案数量指标。</w:t>
      </w:r>
      <w:r w:rsidRPr="001A3EFA">
        <w:rPr>
          <w:rFonts w:ascii="仿宋_GB2312" w:eastAsia="仿宋_GB2312" w:hint="eastAsia"/>
          <w:color w:val="000000"/>
          <w:sz w:val="32"/>
          <w:szCs w:val="32"/>
        </w:rPr>
        <w:t>入额院领导应当完成年度案件承办数量指标，即中级法院院长办案量应当不低于本院法官平均办案量的5%，其他入额院领导办案量应当不低于分管部门法官平均办案量的20%；基层法院院长办案量应当不低于本院法官平均办案量的5%，其他入额院领导办案量应当不低于分管部门法官平均办案量的30%。</w:t>
      </w:r>
    </w:p>
    <w:p w:rsidR="0064424F" w:rsidRPr="001A3EFA" w:rsidRDefault="0064424F" w:rsidP="0050306C">
      <w:pPr>
        <w:ind w:leftChars="135" w:left="283" w:firstLineChars="205" w:firstLine="656"/>
        <w:rPr>
          <w:rFonts w:ascii="仿宋_GB2312" w:eastAsia="仿宋_GB2312"/>
          <w:sz w:val="32"/>
          <w:szCs w:val="32"/>
        </w:rPr>
      </w:pPr>
      <w:r w:rsidRPr="001A3EFA">
        <w:rPr>
          <w:rFonts w:ascii="黑体" w:eastAsia="黑体" w:hAnsi="黑体" w:hint="eastAsia"/>
          <w:color w:val="000000"/>
          <w:sz w:val="32"/>
          <w:szCs w:val="32"/>
        </w:rPr>
        <w:t>四、进一步发挥示范引领作用。</w:t>
      </w:r>
      <w:r w:rsidRPr="00EA267B">
        <w:rPr>
          <w:rFonts w:ascii="仿宋_GB2312" w:eastAsia="仿宋_GB2312" w:hAnsi="仿宋" w:hint="eastAsia"/>
          <w:color w:val="000000"/>
          <w:sz w:val="32"/>
          <w:szCs w:val="32"/>
        </w:rPr>
        <w:t>入额院领导多数出身审判一</w:t>
      </w:r>
      <w:r w:rsidRPr="001A3EFA">
        <w:rPr>
          <w:rFonts w:ascii="仿宋_GB2312" w:eastAsia="仿宋_GB2312" w:hint="eastAsia"/>
          <w:sz w:val="32"/>
          <w:szCs w:val="32"/>
        </w:rPr>
        <w:t>线，带头承办案件有利于优化审判资源配置，提高审判质效，确保司法公正。</w:t>
      </w:r>
      <w:r w:rsidRPr="001A3EFA">
        <w:rPr>
          <w:rFonts w:ascii="仿宋_GB2312" w:eastAsia="仿宋_GB2312" w:hint="eastAsia"/>
          <w:color w:val="000000" w:themeColor="text1"/>
          <w:sz w:val="32"/>
          <w:szCs w:val="32"/>
        </w:rPr>
        <w:t>入额院领导承办案件应当注意发现审判工作中存在的普遍性和突出性问题，注重总结审判工作经验，统一裁判尺度，规范指导审判工作，</w:t>
      </w:r>
      <w:r w:rsidRPr="001A3EFA">
        <w:rPr>
          <w:rFonts w:ascii="仿宋_GB2312" w:eastAsia="仿宋_GB2312" w:hint="eastAsia"/>
          <w:sz w:val="32"/>
          <w:szCs w:val="32"/>
        </w:rPr>
        <w:t>开庭审理案件时应当做好庭审同</w:t>
      </w:r>
      <w:r w:rsidRPr="001A3EFA">
        <w:rPr>
          <w:rFonts w:ascii="仿宋_GB2312" w:eastAsia="仿宋_GB2312" w:hint="eastAsia"/>
          <w:sz w:val="32"/>
          <w:szCs w:val="32"/>
        </w:rPr>
        <w:lastRenderedPageBreak/>
        <w:t>步录音录像，带头进行庭审网络直播，能当庭宣判的应当庭宣判，切实发挥示范引领作用。</w:t>
      </w:r>
    </w:p>
    <w:p w:rsidR="0064424F" w:rsidRPr="001A3EFA" w:rsidRDefault="0064424F" w:rsidP="0050306C">
      <w:pPr>
        <w:ind w:leftChars="135" w:left="283" w:firstLineChars="206" w:firstLine="659"/>
        <w:rPr>
          <w:rFonts w:ascii="仿宋_GB2312" w:eastAsia="仿宋_GB2312"/>
          <w:color w:val="000000"/>
          <w:sz w:val="32"/>
          <w:szCs w:val="32"/>
        </w:rPr>
      </w:pPr>
      <w:r w:rsidRPr="001A3EFA">
        <w:rPr>
          <w:rFonts w:ascii="黑体" w:eastAsia="黑体" w:hAnsi="黑体" w:hint="eastAsia"/>
          <w:color w:val="000000"/>
          <w:sz w:val="32"/>
          <w:szCs w:val="32"/>
        </w:rPr>
        <w:t>五、进一步加强审判绩效考核。</w:t>
      </w:r>
      <w:r w:rsidRPr="0050306C">
        <w:rPr>
          <w:rFonts w:ascii="仿宋_GB2312" w:eastAsia="仿宋_GB2312" w:hAnsi="仿宋" w:hint="eastAsia"/>
          <w:color w:val="000000"/>
          <w:sz w:val="32"/>
          <w:szCs w:val="32"/>
        </w:rPr>
        <w:t>全市两级法院应将入额院领导办案情</w:t>
      </w:r>
      <w:r w:rsidRPr="0050306C">
        <w:rPr>
          <w:rFonts w:ascii="仿宋_GB2312" w:eastAsia="仿宋_GB2312" w:hint="eastAsia"/>
          <w:color w:val="000000"/>
          <w:sz w:val="32"/>
          <w:szCs w:val="32"/>
        </w:rPr>
        <w:t>况纳入审判绩效考核，认真研判20</w:t>
      </w:r>
      <w:r w:rsidRPr="001A3EFA">
        <w:rPr>
          <w:rFonts w:ascii="仿宋_GB2312" w:eastAsia="仿宋_GB2312" w:hint="eastAsia"/>
          <w:color w:val="000000"/>
          <w:sz w:val="32"/>
          <w:szCs w:val="32"/>
        </w:rPr>
        <w:t>18年审判工作趋势，科学分析年度审判工作任务量，根据入额院领导办案数量整体指标，合理确定入额院领导承办案件具体数量指标，确保入额院领办案工作落实到位，执行到位。</w:t>
      </w:r>
    </w:p>
    <w:p w:rsidR="0064424F" w:rsidRPr="001A3EFA" w:rsidRDefault="0064424F" w:rsidP="0050306C">
      <w:pPr>
        <w:ind w:leftChars="135" w:left="283" w:firstLineChars="206" w:firstLine="659"/>
        <w:rPr>
          <w:rFonts w:ascii="仿宋_GB2312" w:eastAsia="仿宋_GB2312" w:hAnsi="宋体"/>
          <w:bCs/>
          <w:sz w:val="32"/>
          <w:szCs w:val="32"/>
        </w:rPr>
      </w:pPr>
      <w:r w:rsidRPr="001A3EFA">
        <w:rPr>
          <w:rFonts w:ascii="黑体" w:eastAsia="黑体" w:hAnsi="黑体" w:hint="eastAsia"/>
          <w:color w:val="000000"/>
          <w:sz w:val="32"/>
          <w:szCs w:val="32"/>
        </w:rPr>
        <w:t>六、进一步构建监督管理长效机制。</w:t>
      </w:r>
      <w:r w:rsidRPr="0050306C">
        <w:rPr>
          <w:rFonts w:ascii="仿宋_GB2312" w:eastAsia="仿宋_GB2312" w:hAnsi="仿宋" w:hint="eastAsia"/>
          <w:color w:val="000000"/>
          <w:sz w:val="32"/>
          <w:szCs w:val="32"/>
        </w:rPr>
        <w:t>全市两级法院</w:t>
      </w:r>
      <w:r w:rsidRPr="0050306C">
        <w:rPr>
          <w:rFonts w:ascii="仿宋_GB2312" w:eastAsia="仿宋_GB2312" w:hint="eastAsia"/>
          <w:sz w:val="32"/>
          <w:szCs w:val="32"/>
        </w:rPr>
        <w:t>应通过</w:t>
      </w:r>
      <w:r w:rsidRPr="001A3EFA">
        <w:rPr>
          <w:rFonts w:ascii="仿宋_GB2312" w:eastAsia="仿宋_GB2312" w:hint="eastAsia"/>
          <w:sz w:val="32"/>
          <w:szCs w:val="32"/>
        </w:rPr>
        <w:t>统计通报、公开公示等方式加强对入额院领导办案情况的日常监督。市中院将进一步加大对基层法院的监督指导力度，防止入额院领导不办案、委托办案、挂名办案等现象发生，进一步加强入额院领导办案统计、通报、公示工作，确保所辖基层法院入额院领导办案工作落实到位。</w:t>
      </w:r>
    </w:p>
    <w:p w:rsidR="0064424F" w:rsidRPr="001A3EFA" w:rsidRDefault="0064424F" w:rsidP="0064424F">
      <w:pPr>
        <w:ind w:firstLineChars="200" w:firstLine="640"/>
        <w:rPr>
          <w:rFonts w:ascii="仿宋_GB2312" w:eastAsia="仿宋_GB2312" w:hAnsi="仿宋"/>
          <w:sz w:val="32"/>
          <w:szCs w:val="32"/>
        </w:rPr>
      </w:pPr>
    </w:p>
    <w:p w:rsidR="0064424F" w:rsidRPr="001A3EFA" w:rsidRDefault="0064424F" w:rsidP="0064424F">
      <w:pPr>
        <w:spacing w:line="600" w:lineRule="exact"/>
        <w:ind w:firstLineChars="1250" w:firstLine="4000"/>
        <w:jc w:val="center"/>
        <w:rPr>
          <w:rFonts w:ascii="仿宋_GB2312" w:eastAsia="仿宋_GB2312" w:hAnsi="仿宋"/>
          <w:sz w:val="32"/>
          <w:szCs w:val="32"/>
        </w:rPr>
      </w:pPr>
    </w:p>
    <w:p w:rsidR="0064424F" w:rsidRPr="001A3EFA" w:rsidRDefault="0064424F" w:rsidP="0064424F">
      <w:pPr>
        <w:spacing w:line="600" w:lineRule="exact"/>
        <w:ind w:firstLineChars="1250" w:firstLine="4000"/>
        <w:jc w:val="center"/>
        <w:rPr>
          <w:rFonts w:ascii="仿宋_GB2312" w:eastAsia="仿宋_GB2312" w:hAnsi="仿宋"/>
          <w:sz w:val="32"/>
          <w:szCs w:val="32"/>
        </w:rPr>
      </w:pPr>
    </w:p>
    <w:p w:rsidR="0064424F" w:rsidRPr="001A3EFA" w:rsidRDefault="0064424F" w:rsidP="0064424F">
      <w:pPr>
        <w:spacing w:line="600" w:lineRule="exact"/>
        <w:rPr>
          <w:rFonts w:ascii="仿宋_GB2312" w:eastAsia="仿宋_GB2312" w:hAnsi="仿宋"/>
          <w:sz w:val="32"/>
          <w:szCs w:val="32"/>
        </w:rPr>
      </w:pPr>
    </w:p>
    <w:p w:rsidR="0064424F" w:rsidRPr="001A3EFA" w:rsidRDefault="0050306C" w:rsidP="0064424F">
      <w:pPr>
        <w:spacing w:line="600" w:lineRule="exact"/>
        <w:ind w:firstLineChars="1250" w:firstLine="4000"/>
        <w:jc w:val="center"/>
        <w:rPr>
          <w:rFonts w:ascii="仿宋_GB2312" w:eastAsia="仿宋_GB2312" w:hAnsi="仿宋"/>
          <w:sz w:val="32"/>
          <w:szCs w:val="32"/>
        </w:rPr>
      </w:pPr>
      <w:r>
        <w:rPr>
          <w:rFonts w:ascii="仿宋_GB2312" w:eastAsia="仿宋_GB2312" w:hAnsi="仿宋" w:hint="eastAsia"/>
          <w:sz w:val="32"/>
          <w:szCs w:val="32"/>
        </w:rPr>
        <w:t xml:space="preserve">      </w:t>
      </w:r>
      <w:r w:rsidR="0064424F" w:rsidRPr="001A3EFA">
        <w:rPr>
          <w:rFonts w:ascii="仿宋_GB2312" w:eastAsia="仿宋_GB2312" w:hAnsi="仿宋" w:hint="eastAsia"/>
          <w:sz w:val="32"/>
          <w:szCs w:val="32"/>
        </w:rPr>
        <w:t xml:space="preserve">长春市中级人民法院  </w:t>
      </w:r>
    </w:p>
    <w:p w:rsidR="0064424F" w:rsidRPr="001A3EFA" w:rsidRDefault="0050306C" w:rsidP="0064424F">
      <w:pPr>
        <w:spacing w:line="600" w:lineRule="exact"/>
        <w:ind w:firstLineChars="1250" w:firstLine="4000"/>
        <w:jc w:val="center"/>
        <w:rPr>
          <w:rFonts w:ascii="仿宋_GB2312" w:eastAsia="仿宋_GB2312" w:hAnsi="仿宋"/>
          <w:sz w:val="32"/>
          <w:szCs w:val="32"/>
        </w:rPr>
      </w:pPr>
      <w:r>
        <w:rPr>
          <w:rFonts w:ascii="仿宋_GB2312" w:eastAsia="仿宋_GB2312" w:hAnsi="仿宋" w:hint="eastAsia"/>
          <w:sz w:val="32"/>
          <w:szCs w:val="32"/>
        </w:rPr>
        <w:t xml:space="preserve">     </w:t>
      </w:r>
      <w:r w:rsidR="0064424F" w:rsidRPr="001A3EFA">
        <w:rPr>
          <w:rFonts w:ascii="仿宋_GB2312" w:eastAsia="仿宋_GB2312" w:hAnsi="仿宋" w:hint="eastAsia"/>
          <w:sz w:val="32"/>
          <w:szCs w:val="32"/>
        </w:rPr>
        <w:t xml:space="preserve"> 2018年1月9日</w:t>
      </w:r>
    </w:p>
    <w:p w:rsidR="0064424F" w:rsidRPr="001A3EFA" w:rsidRDefault="0064424F" w:rsidP="0064424F">
      <w:pPr>
        <w:spacing w:line="600" w:lineRule="exact"/>
        <w:ind w:firstLineChars="1250" w:firstLine="4000"/>
        <w:rPr>
          <w:rFonts w:ascii="仿宋_GB2312" w:eastAsia="仿宋_GB2312" w:hAnsi="仿宋"/>
          <w:sz w:val="32"/>
          <w:szCs w:val="32"/>
        </w:rPr>
      </w:pPr>
    </w:p>
    <w:p w:rsidR="0064424F" w:rsidRPr="007925D2" w:rsidRDefault="0064424F" w:rsidP="0064424F">
      <w:pPr>
        <w:jc w:val="left"/>
        <w:rPr>
          <w:rFonts w:hAnsi="宋体"/>
          <w:szCs w:val="32"/>
        </w:rPr>
      </w:pPr>
      <w:bookmarkStart w:id="0" w:name="_GoBack"/>
      <w:bookmarkEnd w:id="0"/>
    </w:p>
    <w:p w:rsidR="0064424F" w:rsidRPr="0064424F" w:rsidRDefault="0064424F" w:rsidP="0064424F">
      <w:pPr>
        <w:pBdr>
          <w:top w:val="single" w:sz="6" w:space="1" w:color="auto"/>
          <w:bottom w:val="single" w:sz="6" w:space="1" w:color="auto"/>
        </w:pBdr>
        <w:rPr>
          <w:rFonts w:ascii="仿宋_GB2312" w:eastAsia="仿宋_GB2312" w:hAnsi="宋体"/>
          <w:sz w:val="32"/>
          <w:szCs w:val="32"/>
        </w:rPr>
      </w:pP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7925D2">
        <w:rPr>
          <w:rFonts w:hAnsi="宋体" w:hint="eastAsia"/>
          <w:szCs w:val="32"/>
        </w:rPr>
        <w:softHyphen/>
      </w:r>
      <w:r w:rsidRPr="0064424F">
        <w:rPr>
          <w:rFonts w:ascii="仿宋_GB2312" w:eastAsia="仿宋_GB2312" w:hAnsi="宋体" w:hint="eastAsia"/>
          <w:sz w:val="32"/>
          <w:szCs w:val="32"/>
        </w:rPr>
        <w:t xml:space="preserve">长春市中级人民法院办公室         </w:t>
      </w:r>
      <w:r>
        <w:rPr>
          <w:rFonts w:ascii="仿宋_GB2312" w:eastAsia="仿宋_GB2312" w:hAnsi="宋体" w:hint="eastAsia"/>
          <w:sz w:val="32"/>
          <w:szCs w:val="32"/>
        </w:rPr>
        <w:t xml:space="preserve">    </w:t>
      </w:r>
      <w:r w:rsidRPr="0064424F">
        <w:rPr>
          <w:rFonts w:ascii="仿宋_GB2312" w:eastAsia="仿宋_GB2312" w:hAnsi="宋体" w:hint="eastAsia"/>
          <w:sz w:val="32"/>
          <w:szCs w:val="32"/>
        </w:rPr>
        <w:t xml:space="preserve"> 2018年1月9日</w:t>
      </w:r>
    </w:p>
    <w:p w:rsidR="0064424F" w:rsidRPr="0064424F" w:rsidRDefault="0064424F" w:rsidP="0064424F">
      <w:pPr>
        <w:adjustRightInd w:val="0"/>
        <w:ind w:left="210" w:hangingChars="100" w:hanging="210"/>
        <w:rPr>
          <w:kern w:val="0"/>
          <w:szCs w:val="32"/>
        </w:rPr>
      </w:pPr>
    </w:p>
    <w:sectPr w:rsidR="0064424F" w:rsidRPr="0064424F" w:rsidSect="00E375D4">
      <w:footerReference w:type="default" r:id="rId7"/>
      <w:pgSz w:w="11906" w:h="16838"/>
      <w:pgMar w:top="1588" w:right="1418" w:bottom="158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760" w:rsidRDefault="00A91760" w:rsidP="002756FB">
      <w:r>
        <w:separator/>
      </w:r>
    </w:p>
  </w:endnote>
  <w:endnote w:type="continuationSeparator" w:id="1">
    <w:p w:rsidR="00A91760" w:rsidRDefault="00A91760" w:rsidP="00275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仿宋">
    <w:altName w:val="宋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51326"/>
      <w:docPartObj>
        <w:docPartGallery w:val="Page Numbers (Bottom of Page)"/>
        <w:docPartUnique/>
      </w:docPartObj>
    </w:sdtPr>
    <w:sdtContent>
      <w:p w:rsidR="002A5DA0" w:rsidRDefault="007E5700" w:rsidP="002A5DA0">
        <w:pPr>
          <w:pStyle w:val="a4"/>
          <w:jc w:val="center"/>
        </w:pPr>
        <w:r>
          <w:fldChar w:fldCharType="begin"/>
        </w:r>
        <w:r w:rsidR="002A5DA0">
          <w:instrText>PAGE   \* MERGEFORMAT</w:instrText>
        </w:r>
        <w:r>
          <w:fldChar w:fldCharType="separate"/>
        </w:r>
        <w:r w:rsidR="00601067" w:rsidRPr="00601067">
          <w:rPr>
            <w:noProof/>
            <w:lang w:val="zh-CN"/>
          </w:rPr>
          <w:t>1</w:t>
        </w:r>
        <w:r>
          <w:fldChar w:fldCharType="end"/>
        </w:r>
      </w:p>
    </w:sdtContent>
  </w:sdt>
  <w:p w:rsidR="002A5DA0" w:rsidRDefault="002A5D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760" w:rsidRDefault="00A91760" w:rsidP="002756FB">
      <w:r>
        <w:separator/>
      </w:r>
    </w:p>
  </w:footnote>
  <w:footnote w:type="continuationSeparator" w:id="1">
    <w:p w:rsidR="00A91760" w:rsidRDefault="00A91760" w:rsidP="00275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7BCC"/>
    <w:multiLevelType w:val="hybridMultilevel"/>
    <w:tmpl w:val="57D4EA9E"/>
    <w:lvl w:ilvl="0" w:tplc="C03661C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6F3DE0"/>
    <w:multiLevelType w:val="hybridMultilevel"/>
    <w:tmpl w:val="3AA2D194"/>
    <w:lvl w:ilvl="0" w:tplc="1448879E">
      <w:start w:val="2"/>
      <w:numFmt w:val="japaneseCounting"/>
      <w:lvlText w:val="%1、"/>
      <w:lvlJc w:val="left"/>
      <w:pPr>
        <w:ind w:left="660" w:hanging="660"/>
      </w:pPr>
      <w:rPr>
        <w:rFonts w:ascii="仿宋_GB2312" w:eastAsia="仿宋_GB2312" w:hint="default"/>
        <w:b/>
        <w:color w:val="0000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E7478A"/>
    <w:multiLevelType w:val="hybridMultilevel"/>
    <w:tmpl w:val="294EE3FE"/>
    <w:lvl w:ilvl="0" w:tplc="F76A3986">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76E9100F"/>
    <w:multiLevelType w:val="hybridMultilevel"/>
    <w:tmpl w:val="736A4582"/>
    <w:lvl w:ilvl="0" w:tplc="22323B98">
      <w:start w:val="1"/>
      <w:numFmt w:val="none"/>
      <w:lvlText w:val="一、"/>
      <w:lvlJc w:val="left"/>
      <w:pPr>
        <w:ind w:left="1305" w:hanging="67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182"/>
    <w:rsid w:val="000334F4"/>
    <w:rsid w:val="00037EFE"/>
    <w:rsid w:val="00045B8A"/>
    <w:rsid w:val="00065105"/>
    <w:rsid w:val="000A5C67"/>
    <w:rsid w:val="000D629D"/>
    <w:rsid w:val="00103690"/>
    <w:rsid w:val="00123E7E"/>
    <w:rsid w:val="001906CF"/>
    <w:rsid w:val="001A123D"/>
    <w:rsid w:val="001A3EFA"/>
    <w:rsid w:val="001D230E"/>
    <w:rsid w:val="001E5A90"/>
    <w:rsid w:val="001F02EC"/>
    <w:rsid w:val="00200FF8"/>
    <w:rsid w:val="00211D4A"/>
    <w:rsid w:val="002611E8"/>
    <w:rsid w:val="002756FB"/>
    <w:rsid w:val="00294E34"/>
    <w:rsid w:val="002A0B97"/>
    <w:rsid w:val="002A5DA0"/>
    <w:rsid w:val="00302C06"/>
    <w:rsid w:val="003165F7"/>
    <w:rsid w:val="003169E1"/>
    <w:rsid w:val="003B02A5"/>
    <w:rsid w:val="003B2066"/>
    <w:rsid w:val="003C7BAE"/>
    <w:rsid w:val="003D4D3A"/>
    <w:rsid w:val="004019E0"/>
    <w:rsid w:val="004336F0"/>
    <w:rsid w:val="00445F25"/>
    <w:rsid w:val="0048599C"/>
    <w:rsid w:val="0050306C"/>
    <w:rsid w:val="00567E55"/>
    <w:rsid w:val="00592D4D"/>
    <w:rsid w:val="005A051D"/>
    <w:rsid w:val="005F6E08"/>
    <w:rsid w:val="00601067"/>
    <w:rsid w:val="00624D6B"/>
    <w:rsid w:val="00631B70"/>
    <w:rsid w:val="00631C4B"/>
    <w:rsid w:val="00640533"/>
    <w:rsid w:val="0064424F"/>
    <w:rsid w:val="00647238"/>
    <w:rsid w:val="00663B61"/>
    <w:rsid w:val="00716308"/>
    <w:rsid w:val="0077698B"/>
    <w:rsid w:val="007E5700"/>
    <w:rsid w:val="00805BBC"/>
    <w:rsid w:val="00806562"/>
    <w:rsid w:val="0082111B"/>
    <w:rsid w:val="00844839"/>
    <w:rsid w:val="00882289"/>
    <w:rsid w:val="008A08E1"/>
    <w:rsid w:val="009519B0"/>
    <w:rsid w:val="009628B5"/>
    <w:rsid w:val="009777F9"/>
    <w:rsid w:val="009B3D38"/>
    <w:rsid w:val="00A61D9D"/>
    <w:rsid w:val="00A91760"/>
    <w:rsid w:val="00AA0182"/>
    <w:rsid w:val="00AA2269"/>
    <w:rsid w:val="00AD1504"/>
    <w:rsid w:val="00AF441E"/>
    <w:rsid w:val="00B33609"/>
    <w:rsid w:val="00B3670B"/>
    <w:rsid w:val="00BB36CB"/>
    <w:rsid w:val="00C34941"/>
    <w:rsid w:val="00C8754A"/>
    <w:rsid w:val="00CA3CC7"/>
    <w:rsid w:val="00D06786"/>
    <w:rsid w:val="00D1794E"/>
    <w:rsid w:val="00D61A0A"/>
    <w:rsid w:val="00D74BE9"/>
    <w:rsid w:val="00DB4BE9"/>
    <w:rsid w:val="00DC12AB"/>
    <w:rsid w:val="00DD6C2B"/>
    <w:rsid w:val="00E11937"/>
    <w:rsid w:val="00E375D4"/>
    <w:rsid w:val="00E440DD"/>
    <w:rsid w:val="00E63AF8"/>
    <w:rsid w:val="00E925AB"/>
    <w:rsid w:val="00EA267B"/>
    <w:rsid w:val="00EF125D"/>
    <w:rsid w:val="00F02C12"/>
    <w:rsid w:val="00F6386E"/>
    <w:rsid w:val="00F854C9"/>
    <w:rsid w:val="00FD1173"/>
    <w:rsid w:val="00FE0969"/>
    <w:rsid w:val="00FF1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FB"/>
    <w:pPr>
      <w:widowControl w:val="0"/>
      <w:jc w:val="both"/>
    </w:pPr>
    <w:rPr>
      <w:rFonts w:ascii="Times New Roman" w:eastAsia="宋体" w:hAnsi="Times New Roman" w:cs="Times New Roman"/>
      <w:szCs w:val="24"/>
    </w:rPr>
  </w:style>
  <w:style w:type="paragraph" w:styleId="2">
    <w:name w:val="heading 2"/>
    <w:basedOn w:val="a"/>
    <w:link w:val="2Char"/>
    <w:qFormat/>
    <w:rsid w:val="0064424F"/>
    <w:pPr>
      <w:widowControl/>
      <w:spacing w:before="100" w:beforeAutospacing="1" w:after="100" w:afterAutospacing="1"/>
      <w:jc w:val="left"/>
      <w:outlineLvl w:val="1"/>
    </w:pPr>
    <w:rPr>
      <w:rFonts w:ascii="宋体" w:eastAsia="仿宋_GB2312"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6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56FB"/>
    <w:rPr>
      <w:sz w:val="18"/>
      <w:szCs w:val="18"/>
    </w:rPr>
  </w:style>
  <w:style w:type="paragraph" w:styleId="a4">
    <w:name w:val="footer"/>
    <w:basedOn w:val="a"/>
    <w:link w:val="Char0"/>
    <w:uiPriority w:val="99"/>
    <w:unhideWhenUsed/>
    <w:rsid w:val="002756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56FB"/>
    <w:rPr>
      <w:sz w:val="18"/>
      <w:szCs w:val="18"/>
    </w:rPr>
  </w:style>
  <w:style w:type="paragraph" w:styleId="a5">
    <w:name w:val="List Paragraph"/>
    <w:basedOn w:val="a"/>
    <w:uiPriority w:val="34"/>
    <w:qFormat/>
    <w:rsid w:val="00FE0969"/>
    <w:pPr>
      <w:ind w:firstLineChars="200" w:firstLine="420"/>
    </w:pPr>
  </w:style>
  <w:style w:type="paragraph" w:styleId="a6">
    <w:name w:val="Balloon Text"/>
    <w:basedOn w:val="a"/>
    <w:link w:val="Char1"/>
    <w:uiPriority w:val="99"/>
    <w:semiHidden/>
    <w:unhideWhenUsed/>
    <w:rsid w:val="00E440DD"/>
    <w:rPr>
      <w:sz w:val="18"/>
      <w:szCs w:val="18"/>
    </w:rPr>
  </w:style>
  <w:style w:type="character" w:customStyle="1" w:styleId="Char1">
    <w:name w:val="批注框文本 Char"/>
    <w:basedOn w:val="a0"/>
    <w:link w:val="a6"/>
    <w:uiPriority w:val="99"/>
    <w:semiHidden/>
    <w:rsid w:val="00E440DD"/>
    <w:rPr>
      <w:rFonts w:ascii="Times New Roman" w:eastAsia="宋体" w:hAnsi="Times New Roman" w:cs="Times New Roman"/>
      <w:sz w:val="18"/>
      <w:szCs w:val="18"/>
    </w:rPr>
  </w:style>
  <w:style w:type="character" w:customStyle="1" w:styleId="2Char">
    <w:name w:val="标题 2 Char"/>
    <w:basedOn w:val="a0"/>
    <w:link w:val="2"/>
    <w:rsid w:val="0064424F"/>
    <w:rPr>
      <w:rFonts w:ascii="宋体" w:eastAsia="仿宋_GB2312"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56F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756FB"/>
    <w:rPr>
      <w:sz w:val="18"/>
      <w:szCs w:val="18"/>
    </w:rPr>
  </w:style>
  <w:style w:type="paragraph" w:styleId="a4">
    <w:name w:val="footer"/>
    <w:basedOn w:val="a"/>
    <w:link w:val="Char0"/>
    <w:uiPriority w:val="99"/>
    <w:unhideWhenUsed/>
    <w:rsid w:val="002756F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756FB"/>
    <w:rPr>
      <w:sz w:val="18"/>
      <w:szCs w:val="18"/>
    </w:rPr>
  </w:style>
  <w:style w:type="paragraph" w:styleId="a5">
    <w:name w:val="List Paragraph"/>
    <w:basedOn w:val="a"/>
    <w:uiPriority w:val="34"/>
    <w:qFormat/>
    <w:rsid w:val="00FE0969"/>
    <w:pPr>
      <w:ind w:firstLineChars="200" w:firstLine="420"/>
    </w:pPr>
  </w:style>
  <w:style w:type="paragraph" w:styleId="a6">
    <w:name w:val="Balloon Text"/>
    <w:basedOn w:val="a"/>
    <w:link w:val="Char1"/>
    <w:uiPriority w:val="99"/>
    <w:semiHidden/>
    <w:unhideWhenUsed/>
    <w:rsid w:val="00E440DD"/>
    <w:rPr>
      <w:sz w:val="18"/>
      <w:szCs w:val="18"/>
    </w:rPr>
  </w:style>
  <w:style w:type="character" w:customStyle="1" w:styleId="Char1">
    <w:name w:val="批注框文本 Char"/>
    <w:basedOn w:val="a0"/>
    <w:link w:val="a6"/>
    <w:uiPriority w:val="99"/>
    <w:semiHidden/>
    <w:rsid w:val="00E440D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192</Words>
  <Characters>1098</Characters>
  <Application>Microsoft Office Word</Application>
  <DocSecurity>0</DocSecurity>
  <Lines>9</Lines>
  <Paragraphs>2</Paragraphs>
  <ScaleCrop>false</ScaleCrop>
  <Company>Sky123.Org</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15</cp:revision>
  <cp:lastPrinted>2018-01-09T09:26:00Z</cp:lastPrinted>
  <dcterms:created xsi:type="dcterms:W3CDTF">2018-02-09T03:06:00Z</dcterms:created>
  <dcterms:modified xsi:type="dcterms:W3CDTF">2018-10-11T05:55:00Z</dcterms:modified>
</cp:coreProperties>
</file>