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97" w:rsidRPr="00890497" w:rsidRDefault="00890497" w:rsidP="00890497">
      <w:pPr>
        <w:overflowPunct w:val="0"/>
        <w:spacing w:line="300" w:lineRule="exact"/>
        <w:rPr>
          <w:rFonts w:ascii="黑体" w:eastAsia="黑体" w:hAnsi="黑体"/>
          <w:spacing w:val="-20"/>
          <w:sz w:val="28"/>
          <w:szCs w:val="28"/>
        </w:rPr>
      </w:pPr>
      <w:r w:rsidRPr="00890497">
        <w:rPr>
          <w:rFonts w:ascii="黑体" w:eastAsia="黑体" w:hAnsi="黑体" w:hint="eastAsia"/>
          <w:spacing w:val="-20"/>
          <w:sz w:val="28"/>
          <w:szCs w:val="28"/>
        </w:rPr>
        <w:t>内</w:t>
      </w:r>
      <w:r w:rsidRPr="00890497">
        <w:rPr>
          <w:rFonts w:ascii="黑体" w:eastAsia="黑体" w:hAnsi="黑体"/>
          <w:spacing w:val="-20"/>
          <w:sz w:val="28"/>
          <w:szCs w:val="28"/>
        </w:rPr>
        <w:t xml:space="preserve"> </w:t>
      </w:r>
      <w:r w:rsidRPr="00890497">
        <w:rPr>
          <w:rFonts w:ascii="黑体" w:eastAsia="黑体" w:hAnsi="黑体" w:hint="eastAsia"/>
          <w:spacing w:val="-20"/>
          <w:sz w:val="28"/>
          <w:szCs w:val="28"/>
        </w:rPr>
        <w:t>部</w:t>
      </w:r>
      <w:r w:rsidRPr="00890497">
        <w:rPr>
          <w:rFonts w:ascii="黑体" w:eastAsia="黑体" w:hAnsi="黑体"/>
          <w:spacing w:val="-20"/>
          <w:sz w:val="28"/>
          <w:szCs w:val="28"/>
        </w:rPr>
        <w:t xml:space="preserve"> </w:t>
      </w:r>
      <w:r w:rsidRPr="00890497">
        <w:rPr>
          <w:rFonts w:ascii="黑体" w:eastAsia="黑体" w:hAnsi="黑体" w:hint="eastAsia"/>
          <w:spacing w:val="-20"/>
          <w:sz w:val="28"/>
          <w:szCs w:val="28"/>
        </w:rPr>
        <w:t>文</w:t>
      </w:r>
      <w:r w:rsidRPr="00890497">
        <w:rPr>
          <w:rFonts w:ascii="黑体" w:eastAsia="黑体" w:hAnsi="黑体"/>
          <w:spacing w:val="-20"/>
          <w:sz w:val="28"/>
          <w:szCs w:val="28"/>
        </w:rPr>
        <w:t xml:space="preserve"> </w:t>
      </w:r>
      <w:r w:rsidRPr="00890497">
        <w:rPr>
          <w:rFonts w:ascii="黑体" w:eastAsia="黑体" w:hAnsi="黑体" w:hint="eastAsia"/>
          <w:spacing w:val="-20"/>
          <w:sz w:val="28"/>
          <w:szCs w:val="28"/>
        </w:rPr>
        <w:t>件</w:t>
      </w:r>
    </w:p>
    <w:p w:rsidR="00890497" w:rsidRPr="00890497" w:rsidRDefault="00890497" w:rsidP="00890497">
      <w:pPr>
        <w:overflowPunct w:val="0"/>
        <w:spacing w:line="300" w:lineRule="exact"/>
        <w:rPr>
          <w:rFonts w:ascii="黑体" w:eastAsia="黑体" w:hAnsi="黑体"/>
          <w:spacing w:val="-20"/>
          <w:sz w:val="28"/>
          <w:szCs w:val="28"/>
        </w:rPr>
      </w:pPr>
    </w:p>
    <w:p w:rsidR="00890497" w:rsidRPr="00890497" w:rsidRDefault="00890497" w:rsidP="00890497">
      <w:pPr>
        <w:overflowPunct w:val="0"/>
        <w:spacing w:line="300" w:lineRule="exact"/>
        <w:rPr>
          <w:rFonts w:ascii="黑体" w:eastAsia="黑体" w:hAnsi="黑体"/>
          <w:spacing w:val="-20"/>
          <w:sz w:val="28"/>
          <w:szCs w:val="28"/>
        </w:rPr>
      </w:pPr>
      <w:r w:rsidRPr="00890497">
        <w:rPr>
          <w:rFonts w:ascii="黑体" w:eastAsia="黑体" w:hAnsi="黑体" w:hint="eastAsia"/>
          <w:spacing w:val="-20"/>
          <w:sz w:val="28"/>
          <w:szCs w:val="28"/>
        </w:rPr>
        <w:t>注</w:t>
      </w:r>
      <w:r w:rsidRPr="00890497">
        <w:rPr>
          <w:rFonts w:ascii="黑体" w:eastAsia="黑体" w:hAnsi="黑体"/>
          <w:spacing w:val="-20"/>
          <w:sz w:val="28"/>
          <w:szCs w:val="28"/>
        </w:rPr>
        <w:t xml:space="preserve"> </w:t>
      </w:r>
      <w:r w:rsidRPr="00890497">
        <w:rPr>
          <w:rFonts w:ascii="黑体" w:eastAsia="黑体" w:hAnsi="黑体" w:hint="eastAsia"/>
          <w:spacing w:val="-20"/>
          <w:sz w:val="28"/>
          <w:szCs w:val="28"/>
        </w:rPr>
        <w:t>意</w:t>
      </w:r>
      <w:r w:rsidRPr="00890497">
        <w:rPr>
          <w:rFonts w:ascii="黑体" w:eastAsia="黑体" w:hAnsi="黑体"/>
          <w:spacing w:val="-20"/>
          <w:sz w:val="28"/>
          <w:szCs w:val="28"/>
        </w:rPr>
        <w:t xml:space="preserve"> </w:t>
      </w:r>
      <w:r w:rsidRPr="00890497">
        <w:rPr>
          <w:rFonts w:ascii="黑体" w:eastAsia="黑体" w:hAnsi="黑体" w:hint="eastAsia"/>
          <w:spacing w:val="-20"/>
          <w:sz w:val="28"/>
          <w:szCs w:val="28"/>
        </w:rPr>
        <w:t>保</w:t>
      </w:r>
      <w:r w:rsidRPr="00890497">
        <w:rPr>
          <w:rFonts w:ascii="黑体" w:eastAsia="黑体" w:hAnsi="黑体"/>
          <w:spacing w:val="-20"/>
          <w:sz w:val="28"/>
          <w:szCs w:val="28"/>
        </w:rPr>
        <w:t xml:space="preserve"> </w:t>
      </w:r>
      <w:r w:rsidRPr="00890497">
        <w:rPr>
          <w:rFonts w:ascii="黑体" w:eastAsia="黑体" w:hAnsi="黑体" w:hint="eastAsia"/>
          <w:spacing w:val="-20"/>
          <w:sz w:val="28"/>
          <w:szCs w:val="28"/>
        </w:rPr>
        <w:t>存</w:t>
      </w:r>
    </w:p>
    <w:p w:rsidR="00890497" w:rsidRPr="00254FF9" w:rsidRDefault="00890497" w:rsidP="00890497">
      <w:pPr>
        <w:overflowPunct w:val="0"/>
        <w:jc w:val="center"/>
        <w:rPr>
          <w:rFonts w:ascii="方正小标宋_GBK" w:eastAsia="方正小标宋_GBK"/>
          <w:b/>
          <w:color w:val="FF0000"/>
          <w:spacing w:val="20"/>
          <w:w w:val="55"/>
          <w:sz w:val="118"/>
          <w:szCs w:val="110"/>
        </w:rPr>
      </w:pPr>
      <w:r w:rsidRPr="00254FF9">
        <w:rPr>
          <w:rFonts w:ascii="方正小标宋_GBK" w:eastAsia="方正小标宋_GBK" w:hint="eastAsia"/>
          <w:b/>
          <w:color w:val="FF0000"/>
          <w:spacing w:val="20"/>
          <w:w w:val="55"/>
          <w:sz w:val="118"/>
          <w:szCs w:val="110"/>
        </w:rPr>
        <w:t>吉林省长春市中级人民法院</w:t>
      </w:r>
    </w:p>
    <w:p w:rsidR="00890497" w:rsidRPr="00904114" w:rsidRDefault="00890497" w:rsidP="00890497">
      <w:pPr>
        <w:overflowPunct w:val="0"/>
        <w:spacing w:line="900" w:lineRule="exact"/>
        <w:jc w:val="center"/>
        <w:rPr>
          <w:rFonts w:ascii="仿宋_GB2312" w:eastAsia="仿宋_GB2312" w:hAnsi="仿宋" w:hint="eastAsia"/>
          <w:sz w:val="32"/>
          <w:szCs w:val="32"/>
        </w:rPr>
      </w:pPr>
      <w:r w:rsidRPr="00904114">
        <w:rPr>
          <w:rFonts w:ascii="仿宋_GB2312" w:eastAsia="仿宋_GB2312" w:hAnsi="仿宋" w:hint="eastAsia"/>
          <w:sz w:val="32"/>
          <w:szCs w:val="32"/>
        </w:rPr>
        <w:t>长中法〔2018〕124号</w:t>
      </w:r>
    </w:p>
    <w:p w:rsidR="00890497" w:rsidRPr="00890497" w:rsidRDefault="00E01CAC" w:rsidP="00890497">
      <w:pPr>
        <w:overflowPunct w:val="0"/>
        <w:spacing w:line="1000" w:lineRule="exact"/>
        <w:rPr>
          <w:rFonts w:ascii="方正小标宋_GBK" w:eastAsia="方正小标宋_GBK" w:hAnsi="黑体"/>
          <w:sz w:val="44"/>
          <w:szCs w:val="44"/>
        </w:rPr>
      </w:pPr>
      <w:r w:rsidRPr="00E01CAC">
        <w:rPr>
          <w:noProof/>
        </w:rPr>
        <w:pict>
          <v:shapetype id="_x0000_t32" coordsize="21600,21600" o:spt="32" o:oned="t" path="m,l21600,21600e" filled="f">
            <v:path arrowok="t" fillok="f" o:connecttype="none"/>
            <o:lock v:ext="edit" shapetype="t"/>
          </v:shapetype>
          <v:shape id="_x0000_s1026" type="#_x0000_t32" style="position:absolute;left:0;text-align:left;margin-left:63.5pt;margin-top:207.85pt;width:467.7pt;height:.05pt;z-index:-251658752;mso-position-horizontal-relative:page;mso-position-vertical-relative:margin" o:connectortype="straight" strokecolor="red" strokeweight="2.25pt">
            <w10:wrap anchorx="page" anchory="margin"/>
          </v:shape>
        </w:pict>
      </w:r>
    </w:p>
    <w:p w:rsidR="00626BEE" w:rsidRPr="00B56384" w:rsidRDefault="00903D20" w:rsidP="00626BEE">
      <w:pPr>
        <w:jc w:val="center"/>
        <w:rPr>
          <w:rFonts w:ascii="黑体" w:eastAsia="黑体" w:hAnsi="黑体"/>
          <w:sz w:val="44"/>
          <w:szCs w:val="44"/>
        </w:rPr>
      </w:pPr>
      <w:r>
        <w:rPr>
          <w:rFonts w:ascii="黑体" w:eastAsia="黑体" w:hAnsi="黑体" w:hint="eastAsia"/>
          <w:sz w:val="44"/>
          <w:szCs w:val="44"/>
        </w:rPr>
        <w:t>长春市中级人民法院</w:t>
      </w:r>
      <w:r w:rsidR="00626BEE" w:rsidRPr="00B56384">
        <w:rPr>
          <w:rFonts w:ascii="黑体" w:eastAsia="黑体" w:hAnsi="黑体" w:hint="eastAsia"/>
          <w:sz w:val="44"/>
          <w:szCs w:val="44"/>
        </w:rPr>
        <w:t>关于严格依法适用</w:t>
      </w:r>
    </w:p>
    <w:p w:rsidR="00626BEE" w:rsidRPr="00B56384" w:rsidRDefault="00626BEE" w:rsidP="00626BEE">
      <w:pPr>
        <w:jc w:val="center"/>
        <w:rPr>
          <w:rFonts w:ascii="黑体" w:eastAsia="黑体" w:hAnsi="黑体"/>
          <w:sz w:val="44"/>
          <w:szCs w:val="44"/>
        </w:rPr>
      </w:pPr>
      <w:r w:rsidRPr="00B56384">
        <w:rPr>
          <w:rFonts w:ascii="黑体" w:eastAsia="黑体" w:hAnsi="黑体" w:hint="eastAsia"/>
          <w:sz w:val="44"/>
          <w:szCs w:val="44"/>
        </w:rPr>
        <w:t>发回重审</w:t>
      </w:r>
      <w:r w:rsidR="000858D2">
        <w:rPr>
          <w:rFonts w:ascii="黑体" w:eastAsia="黑体" w:hAnsi="黑体" w:hint="eastAsia"/>
          <w:sz w:val="44"/>
          <w:szCs w:val="44"/>
        </w:rPr>
        <w:t>和</w:t>
      </w:r>
      <w:r w:rsidRPr="00B56384">
        <w:rPr>
          <w:rFonts w:ascii="黑体" w:eastAsia="黑体" w:hAnsi="黑体" w:hint="eastAsia"/>
          <w:sz w:val="44"/>
          <w:szCs w:val="44"/>
        </w:rPr>
        <w:t>指令再审的规定(试行)</w:t>
      </w:r>
    </w:p>
    <w:p w:rsidR="007E77CE" w:rsidRPr="007E77CE" w:rsidRDefault="007E77CE" w:rsidP="00626BEE">
      <w:pPr>
        <w:jc w:val="center"/>
        <w:rPr>
          <w:rFonts w:ascii="仿宋_GB2312" w:eastAsia="仿宋_GB2312"/>
          <w:sz w:val="32"/>
          <w:szCs w:val="32"/>
        </w:rPr>
      </w:pPr>
    </w:p>
    <w:p w:rsidR="00903D20" w:rsidRDefault="00F23C96" w:rsidP="00903D20">
      <w:pPr>
        <w:ind w:firstLineChars="200" w:firstLine="640"/>
        <w:rPr>
          <w:rFonts w:ascii="仿宋_GB2312" w:eastAsia="仿宋_GB2312" w:hAnsi="黑体"/>
          <w:sz w:val="32"/>
          <w:szCs w:val="32"/>
        </w:rPr>
      </w:pPr>
      <w:r>
        <w:rPr>
          <w:rFonts w:ascii="仿宋_GB2312" w:eastAsia="仿宋_GB2312" w:hint="eastAsia"/>
          <w:sz w:val="32"/>
          <w:szCs w:val="32"/>
        </w:rPr>
        <w:t>为全面贯彻落实司法责任制，统一</w:t>
      </w:r>
      <w:r w:rsidR="00626BEE">
        <w:rPr>
          <w:rFonts w:ascii="仿宋_GB2312" w:eastAsia="仿宋_GB2312" w:hint="eastAsia"/>
          <w:sz w:val="32"/>
          <w:szCs w:val="32"/>
        </w:rPr>
        <w:t>裁判</w:t>
      </w:r>
      <w:r w:rsidR="0045303E">
        <w:rPr>
          <w:rFonts w:ascii="仿宋_GB2312" w:eastAsia="仿宋_GB2312" w:hint="eastAsia"/>
          <w:sz w:val="32"/>
          <w:szCs w:val="32"/>
        </w:rPr>
        <w:t>尺</w:t>
      </w:r>
      <w:r w:rsidR="00626BEE">
        <w:rPr>
          <w:rFonts w:ascii="仿宋_GB2312" w:eastAsia="仿宋_GB2312" w:hint="eastAsia"/>
          <w:sz w:val="32"/>
          <w:szCs w:val="32"/>
        </w:rPr>
        <w:t>度，提高案件质量和司法公信力，依照《中华人民共和国民事诉讼法》《中华人民共和国刑事诉讼法》《中华人民共和国行政诉讼法》等</w:t>
      </w:r>
      <w:r w:rsidR="00B46CC0">
        <w:rPr>
          <w:rFonts w:ascii="仿宋_GB2312" w:eastAsia="仿宋_GB2312" w:hint="eastAsia"/>
          <w:sz w:val="32"/>
          <w:szCs w:val="32"/>
        </w:rPr>
        <w:t>法律及</w:t>
      </w:r>
      <w:r w:rsidR="004311B5">
        <w:rPr>
          <w:rFonts w:ascii="仿宋_GB2312" w:eastAsia="仿宋_GB2312" w:hint="eastAsia"/>
          <w:sz w:val="32"/>
          <w:szCs w:val="32"/>
        </w:rPr>
        <w:t>相关</w:t>
      </w:r>
      <w:r w:rsidR="00B46CC0">
        <w:rPr>
          <w:rFonts w:ascii="仿宋_GB2312" w:eastAsia="仿宋_GB2312" w:hint="eastAsia"/>
          <w:sz w:val="32"/>
          <w:szCs w:val="32"/>
        </w:rPr>
        <w:t>司法解释</w:t>
      </w:r>
      <w:r>
        <w:rPr>
          <w:rFonts w:ascii="仿宋_GB2312" w:eastAsia="仿宋_GB2312" w:hint="eastAsia"/>
          <w:sz w:val="32"/>
          <w:szCs w:val="32"/>
        </w:rPr>
        <w:t>规定，</w:t>
      </w:r>
      <w:r w:rsidR="00903D20">
        <w:rPr>
          <w:rFonts w:ascii="仿宋_GB2312" w:eastAsia="仿宋_GB2312" w:hint="eastAsia"/>
          <w:sz w:val="32"/>
          <w:szCs w:val="32"/>
        </w:rPr>
        <w:t>根据《</w:t>
      </w:r>
      <w:r w:rsidR="00903D20" w:rsidRPr="00903D20">
        <w:rPr>
          <w:rFonts w:ascii="仿宋_GB2312" w:eastAsia="仿宋_GB2312" w:hAnsi="黑体" w:hint="eastAsia"/>
          <w:sz w:val="32"/>
          <w:szCs w:val="32"/>
        </w:rPr>
        <w:t>吉林省高级人民法院关</w:t>
      </w:r>
    </w:p>
    <w:p w:rsidR="00626BEE" w:rsidRPr="00903D20" w:rsidRDefault="00903D20" w:rsidP="00903D20">
      <w:pPr>
        <w:rPr>
          <w:rFonts w:ascii="仿宋_GB2312" w:eastAsia="仿宋_GB2312" w:hAnsi="黑体"/>
          <w:sz w:val="32"/>
          <w:szCs w:val="32"/>
        </w:rPr>
      </w:pPr>
      <w:r w:rsidRPr="00903D20">
        <w:rPr>
          <w:rFonts w:ascii="仿宋_GB2312" w:eastAsia="仿宋_GB2312" w:hAnsi="黑体" w:hint="eastAsia"/>
          <w:sz w:val="32"/>
          <w:szCs w:val="32"/>
        </w:rPr>
        <w:t>于严格依法适用发回重审和指令再审的规定(试行)</w:t>
      </w:r>
      <w:r>
        <w:rPr>
          <w:rFonts w:ascii="仿宋_GB2312" w:eastAsia="仿宋_GB2312" w:hint="eastAsia"/>
          <w:sz w:val="32"/>
          <w:szCs w:val="32"/>
        </w:rPr>
        <w:t>》，</w:t>
      </w:r>
      <w:r w:rsidR="00F23C96">
        <w:rPr>
          <w:rFonts w:ascii="仿宋_GB2312" w:eastAsia="仿宋_GB2312" w:hint="eastAsia"/>
          <w:sz w:val="32"/>
          <w:szCs w:val="32"/>
        </w:rPr>
        <w:t>结合我</w:t>
      </w:r>
      <w:r>
        <w:rPr>
          <w:rFonts w:ascii="仿宋_GB2312" w:eastAsia="仿宋_GB2312" w:hint="eastAsia"/>
          <w:sz w:val="32"/>
          <w:szCs w:val="32"/>
        </w:rPr>
        <w:t>市</w:t>
      </w:r>
      <w:r w:rsidR="00B46458">
        <w:rPr>
          <w:rFonts w:ascii="仿宋_GB2312" w:eastAsia="仿宋_GB2312" w:hint="eastAsia"/>
          <w:sz w:val="32"/>
          <w:szCs w:val="32"/>
        </w:rPr>
        <w:t>法</w:t>
      </w:r>
      <w:r w:rsidR="009F06CE">
        <w:rPr>
          <w:rFonts w:ascii="仿宋_GB2312" w:eastAsia="仿宋_GB2312" w:hint="eastAsia"/>
          <w:sz w:val="32"/>
          <w:szCs w:val="32"/>
        </w:rPr>
        <w:t>院</w:t>
      </w:r>
      <w:r w:rsidR="00626BEE">
        <w:rPr>
          <w:rFonts w:ascii="仿宋_GB2312" w:eastAsia="仿宋_GB2312" w:hint="eastAsia"/>
          <w:sz w:val="32"/>
          <w:szCs w:val="32"/>
        </w:rPr>
        <w:t>审判工作实际，制定本规定。</w:t>
      </w:r>
    </w:p>
    <w:p w:rsidR="00626BEE" w:rsidRDefault="00626BEE" w:rsidP="00626BEE">
      <w:pPr>
        <w:jc w:val="center"/>
        <w:rPr>
          <w:rFonts w:ascii="仿宋_GB2312" w:eastAsia="仿宋_GB2312"/>
          <w:b/>
          <w:sz w:val="32"/>
          <w:szCs w:val="32"/>
        </w:rPr>
      </w:pPr>
      <w:r w:rsidRPr="00FD0242">
        <w:rPr>
          <w:rFonts w:ascii="仿宋_GB2312" w:eastAsia="仿宋_GB2312" w:hint="eastAsia"/>
          <w:b/>
          <w:sz w:val="32"/>
          <w:szCs w:val="32"/>
        </w:rPr>
        <w:t>第一章 一般规定</w:t>
      </w:r>
    </w:p>
    <w:p w:rsidR="00626BEE" w:rsidRDefault="00626BEE" w:rsidP="00626BEE">
      <w:pPr>
        <w:ind w:firstLine="645"/>
        <w:rPr>
          <w:rFonts w:ascii="仿宋_GB2312" w:eastAsia="仿宋_GB2312"/>
          <w:sz w:val="32"/>
          <w:szCs w:val="32"/>
        </w:rPr>
      </w:pPr>
      <w:r w:rsidRPr="00FD0242">
        <w:rPr>
          <w:rFonts w:ascii="仿宋_GB2312" w:eastAsia="仿宋_GB2312" w:hint="eastAsia"/>
          <w:b/>
          <w:sz w:val="32"/>
          <w:szCs w:val="32"/>
        </w:rPr>
        <w:t>第一条</w:t>
      </w:r>
      <w:r>
        <w:rPr>
          <w:rFonts w:ascii="仿宋_GB2312" w:eastAsia="仿宋_GB2312" w:hint="eastAsia"/>
          <w:sz w:val="32"/>
          <w:szCs w:val="32"/>
        </w:rPr>
        <w:t xml:space="preserve"> 人民法院发回重审、指令再审应当依法处理好审级监督与维护一、二审(再审)裁判稳定性和权</w:t>
      </w:r>
      <w:r w:rsidR="002F6B64">
        <w:rPr>
          <w:rFonts w:ascii="仿宋_GB2312" w:eastAsia="仿宋_GB2312" w:hint="eastAsia"/>
          <w:sz w:val="32"/>
          <w:szCs w:val="32"/>
        </w:rPr>
        <w:t>威性的关系，严禁为推卸审判责任、减轻工作负担而随意发回重审、</w:t>
      </w:r>
      <w:r w:rsidR="007254C8">
        <w:rPr>
          <w:rFonts w:ascii="仿宋_GB2312" w:eastAsia="仿宋_GB2312" w:hint="eastAsia"/>
          <w:sz w:val="32"/>
          <w:szCs w:val="32"/>
        </w:rPr>
        <w:t>指令</w:t>
      </w:r>
      <w:r>
        <w:rPr>
          <w:rFonts w:ascii="仿宋_GB2312" w:eastAsia="仿宋_GB2312" w:hint="eastAsia"/>
          <w:sz w:val="32"/>
          <w:szCs w:val="32"/>
        </w:rPr>
        <w:t>再审。</w:t>
      </w:r>
    </w:p>
    <w:p w:rsidR="00626BEE" w:rsidRDefault="00626BEE" w:rsidP="00626BEE">
      <w:pPr>
        <w:ind w:firstLine="645"/>
        <w:rPr>
          <w:rFonts w:ascii="仿宋_GB2312" w:eastAsia="仿宋_GB2312" w:hAnsi="宋体" w:cs="宋体"/>
          <w:sz w:val="32"/>
          <w:szCs w:val="32"/>
        </w:rPr>
      </w:pPr>
      <w:r w:rsidRPr="00FD0242">
        <w:rPr>
          <w:rFonts w:ascii="仿宋_GB2312" w:eastAsia="仿宋_GB2312" w:hint="eastAsia"/>
          <w:b/>
          <w:sz w:val="32"/>
          <w:szCs w:val="32"/>
        </w:rPr>
        <w:lastRenderedPageBreak/>
        <w:t>第二条</w:t>
      </w:r>
      <w:r w:rsidR="00BA6BC5">
        <w:rPr>
          <w:rFonts w:ascii="仿宋_GB2312" w:eastAsia="仿宋_GB2312" w:hint="eastAsia"/>
          <w:b/>
          <w:sz w:val="32"/>
          <w:szCs w:val="32"/>
        </w:rPr>
        <w:t xml:space="preserve"> </w:t>
      </w:r>
      <w:r w:rsidR="00A14EFD">
        <w:rPr>
          <w:rFonts w:ascii="仿宋_GB2312" w:eastAsia="仿宋_GB2312" w:hint="eastAsia"/>
          <w:sz w:val="32"/>
          <w:szCs w:val="32"/>
        </w:rPr>
        <w:t>人民法院审理二审案件和适用二审程序审理的再审案件，</w:t>
      </w:r>
      <w:r w:rsidR="00F23C96">
        <w:rPr>
          <w:rFonts w:ascii="仿宋_GB2312" w:eastAsia="仿宋_GB2312" w:hint="eastAsia"/>
          <w:sz w:val="32"/>
          <w:szCs w:val="32"/>
        </w:rPr>
        <w:t>应当严格依法</w:t>
      </w:r>
      <w:r w:rsidR="00A14EFD">
        <w:rPr>
          <w:rFonts w:ascii="仿宋_GB2312" w:eastAsia="仿宋_GB2312" w:hint="eastAsia"/>
          <w:sz w:val="32"/>
          <w:szCs w:val="32"/>
        </w:rPr>
        <w:t>适用</w:t>
      </w:r>
      <w:r>
        <w:rPr>
          <w:rFonts w:ascii="仿宋_GB2312" w:eastAsia="仿宋_GB2312" w:hint="eastAsia"/>
          <w:sz w:val="32"/>
          <w:szCs w:val="32"/>
        </w:rPr>
        <w:t>发回重审</w:t>
      </w:r>
      <w:r w:rsidRPr="00FD0242">
        <w:rPr>
          <w:rFonts w:ascii="仿宋_GB2312" w:eastAsia="仿宋_GB2312" w:hAnsi="宋体" w:cs="宋体" w:hint="eastAsia"/>
          <w:sz w:val="32"/>
          <w:szCs w:val="32"/>
        </w:rPr>
        <w:t>。</w:t>
      </w:r>
    </w:p>
    <w:p w:rsidR="00626BEE" w:rsidRDefault="00626BEE" w:rsidP="00626BEE">
      <w:pPr>
        <w:ind w:firstLine="645"/>
        <w:rPr>
          <w:rFonts w:ascii="仿宋_GB2312" w:eastAsia="仿宋_GB2312" w:hAnsi="宋体" w:cs="宋体"/>
          <w:sz w:val="32"/>
          <w:szCs w:val="32"/>
        </w:rPr>
      </w:pPr>
      <w:r w:rsidRPr="00FD0242">
        <w:rPr>
          <w:rFonts w:ascii="仿宋_GB2312" w:eastAsia="仿宋_GB2312" w:hAnsi="宋体" w:cs="宋体" w:hint="eastAsia"/>
          <w:b/>
          <w:sz w:val="32"/>
          <w:szCs w:val="32"/>
        </w:rPr>
        <w:t>第三条</w:t>
      </w:r>
      <w:r>
        <w:rPr>
          <w:rFonts w:ascii="仿宋_GB2312" w:eastAsia="仿宋_GB2312" w:hAnsi="宋体" w:cs="宋体" w:hint="eastAsia"/>
          <w:sz w:val="32"/>
          <w:szCs w:val="32"/>
        </w:rPr>
        <w:t xml:space="preserve"> 一审法院重审后，二审法院认为原判决认定事实仍有错误，或者原判决认定事实不清、证据不足的，二审法院</w:t>
      </w:r>
      <w:r w:rsidR="00D30F40">
        <w:rPr>
          <w:rFonts w:ascii="仿宋_GB2312" w:eastAsia="仿宋_GB2312" w:hAnsi="宋体" w:cs="宋体" w:hint="eastAsia"/>
          <w:sz w:val="32"/>
          <w:szCs w:val="32"/>
        </w:rPr>
        <w:t>如果能够查清事实，应当依法作出裁判，</w:t>
      </w:r>
      <w:r>
        <w:rPr>
          <w:rFonts w:ascii="仿宋_GB2312" w:eastAsia="仿宋_GB2312" w:hAnsi="宋体" w:cs="宋体" w:hint="eastAsia"/>
          <w:sz w:val="32"/>
          <w:szCs w:val="32"/>
        </w:rPr>
        <w:t>不得再次发回重审。</w:t>
      </w:r>
    </w:p>
    <w:p w:rsidR="00626BEE" w:rsidRDefault="00626BEE" w:rsidP="00626BEE">
      <w:pPr>
        <w:ind w:firstLine="645"/>
        <w:rPr>
          <w:rFonts w:ascii="仿宋_GB2312" w:eastAsia="仿宋_GB2312" w:hAnsi="宋体" w:cs="宋体"/>
          <w:sz w:val="32"/>
          <w:szCs w:val="32"/>
        </w:rPr>
      </w:pPr>
      <w:r w:rsidRPr="00FD0242">
        <w:rPr>
          <w:rFonts w:ascii="仿宋_GB2312" w:eastAsia="仿宋_GB2312" w:hAnsi="宋体" w:cs="宋体" w:hint="eastAsia"/>
          <w:b/>
          <w:sz w:val="32"/>
          <w:szCs w:val="32"/>
        </w:rPr>
        <w:t xml:space="preserve">第四条 </w:t>
      </w:r>
      <w:r w:rsidRPr="00D54225">
        <w:rPr>
          <w:rFonts w:ascii="仿宋_GB2312" w:eastAsia="仿宋_GB2312" w:hAnsi="宋体" w:cs="宋体" w:hint="eastAsia"/>
          <w:sz w:val="32"/>
          <w:szCs w:val="32"/>
        </w:rPr>
        <w:t>发</w:t>
      </w:r>
      <w:r>
        <w:rPr>
          <w:rFonts w:ascii="仿宋_GB2312" w:eastAsia="仿宋_GB2312" w:hAnsi="宋体" w:cs="宋体" w:hint="eastAsia"/>
          <w:sz w:val="32"/>
          <w:szCs w:val="32"/>
        </w:rPr>
        <w:t>回重审、指令再审的案件除涉及国家秘密和有不宜公开的理由外，应当在裁定书中阐明发回重审或指令再审的具体理由。</w:t>
      </w:r>
    </w:p>
    <w:p w:rsidR="00057C50" w:rsidRDefault="00057C50" w:rsidP="00626BEE">
      <w:pPr>
        <w:ind w:firstLine="645"/>
        <w:rPr>
          <w:rFonts w:ascii="仿宋_GB2312" w:eastAsia="仿宋_GB2312" w:hAnsi="宋体" w:cs="宋体"/>
          <w:sz w:val="32"/>
          <w:szCs w:val="32"/>
        </w:rPr>
      </w:pPr>
      <w:r w:rsidRPr="00057C50">
        <w:rPr>
          <w:rFonts w:ascii="仿宋_GB2312" w:eastAsia="仿宋_GB2312" w:hAnsi="宋体" w:cs="宋体" w:hint="eastAsia"/>
          <w:b/>
          <w:sz w:val="32"/>
          <w:szCs w:val="32"/>
        </w:rPr>
        <w:t xml:space="preserve">第五条 </w:t>
      </w:r>
      <w:r w:rsidR="00263197">
        <w:rPr>
          <w:rFonts w:ascii="仿宋_GB2312" w:eastAsia="仿宋_GB2312" w:hAnsi="宋体" w:cs="宋体" w:hint="eastAsia"/>
          <w:sz w:val="32"/>
          <w:szCs w:val="32"/>
        </w:rPr>
        <w:t>发回重审、指令再审</w:t>
      </w:r>
      <w:r w:rsidR="00CA6DCD">
        <w:rPr>
          <w:rFonts w:ascii="仿宋_GB2312" w:eastAsia="仿宋_GB2312" w:hAnsi="宋体" w:cs="宋体" w:hint="eastAsia"/>
          <w:sz w:val="32"/>
          <w:szCs w:val="32"/>
        </w:rPr>
        <w:t>案件</w:t>
      </w:r>
      <w:r w:rsidR="0083559B">
        <w:rPr>
          <w:rFonts w:ascii="仿宋_GB2312" w:eastAsia="仿宋_GB2312" w:hAnsi="宋体" w:cs="宋体" w:hint="eastAsia"/>
          <w:sz w:val="32"/>
          <w:szCs w:val="32"/>
        </w:rPr>
        <w:t>合议</w:t>
      </w:r>
      <w:r>
        <w:rPr>
          <w:rFonts w:ascii="仿宋_GB2312" w:eastAsia="仿宋_GB2312" w:hAnsi="宋体" w:cs="宋体" w:hint="eastAsia"/>
          <w:sz w:val="32"/>
          <w:szCs w:val="32"/>
        </w:rPr>
        <w:t>时</w:t>
      </w:r>
      <w:r w:rsidR="00263197">
        <w:rPr>
          <w:rFonts w:ascii="仿宋_GB2312" w:eastAsia="仿宋_GB2312" w:hAnsi="宋体" w:cs="宋体" w:hint="eastAsia"/>
          <w:sz w:val="32"/>
          <w:szCs w:val="32"/>
        </w:rPr>
        <w:t>，合议庭</w:t>
      </w:r>
      <w:r>
        <w:rPr>
          <w:rFonts w:ascii="仿宋_GB2312" w:eastAsia="仿宋_GB2312" w:hAnsi="宋体" w:cs="宋体" w:hint="eastAsia"/>
          <w:sz w:val="32"/>
          <w:szCs w:val="32"/>
        </w:rPr>
        <w:t>应当明确</w:t>
      </w:r>
      <w:r w:rsidR="00263197">
        <w:rPr>
          <w:rFonts w:ascii="仿宋_GB2312" w:eastAsia="仿宋_GB2312" w:hAnsi="宋体" w:cs="宋体" w:hint="eastAsia"/>
          <w:sz w:val="32"/>
          <w:szCs w:val="32"/>
        </w:rPr>
        <w:t>拟</w:t>
      </w:r>
      <w:r>
        <w:rPr>
          <w:rFonts w:ascii="仿宋_GB2312" w:eastAsia="仿宋_GB2312" w:hAnsi="宋体" w:cs="宋体" w:hint="eastAsia"/>
          <w:sz w:val="32"/>
          <w:szCs w:val="32"/>
        </w:rPr>
        <w:t>发回重审和指令再审</w:t>
      </w:r>
      <w:r w:rsidR="00263197">
        <w:rPr>
          <w:rFonts w:ascii="仿宋_GB2312" w:eastAsia="仿宋_GB2312" w:hAnsi="宋体" w:cs="宋体" w:hint="eastAsia"/>
          <w:sz w:val="32"/>
          <w:szCs w:val="32"/>
        </w:rPr>
        <w:t>案件</w:t>
      </w:r>
      <w:r>
        <w:rPr>
          <w:rFonts w:ascii="仿宋_GB2312" w:eastAsia="仿宋_GB2312" w:hAnsi="宋体" w:cs="宋体" w:hint="eastAsia"/>
          <w:sz w:val="32"/>
          <w:szCs w:val="32"/>
        </w:rPr>
        <w:t>的法律依据。</w:t>
      </w:r>
    </w:p>
    <w:p w:rsidR="00057C50" w:rsidRPr="00057C50" w:rsidRDefault="00057C50" w:rsidP="00057C50">
      <w:pPr>
        <w:ind w:firstLine="645"/>
        <w:rPr>
          <w:rFonts w:ascii="仿宋_GB2312" w:eastAsia="仿宋_GB2312" w:hAnsi="宋体" w:cs="宋体"/>
          <w:sz w:val="32"/>
          <w:szCs w:val="32"/>
        </w:rPr>
      </w:pPr>
      <w:r w:rsidRPr="00057C50">
        <w:rPr>
          <w:rFonts w:ascii="仿宋_GB2312" w:eastAsia="仿宋_GB2312" w:hAnsi="宋体" w:cs="宋体" w:hint="eastAsia"/>
          <w:b/>
          <w:sz w:val="32"/>
          <w:szCs w:val="32"/>
        </w:rPr>
        <w:t>第六条</w:t>
      </w:r>
      <w:r w:rsidR="00BA6BC5">
        <w:rPr>
          <w:rFonts w:ascii="仿宋_GB2312" w:eastAsia="仿宋_GB2312" w:hAnsi="宋体" w:cs="宋体" w:hint="eastAsia"/>
          <w:b/>
          <w:sz w:val="32"/>
          <w:szCs w:val="32"/>
        </w:rPr>
        <w:t xml:space="preserve"> </w:t>
      </w:r>
      <w:r w:rsidR="00263197">
        <w:rPr>
          <w:rFonts w:ascii="仿宋_GB2312" w:eastAsia="仿宋_GB2312" w:hAnsi="宋体" w:cs="宋体" w:hint="eastAsia"/>
          <w:sz w:val="32"/>
          <w:szCs w:val="32"/>
        </w:rPr>
        <w:t>拟发回重审、指令再审案件应当提交</w:t>
      </w:r>
      <w:r w:rsidR="00CA6DCD">
        <w:rPr>
          <w:rFonts w:ascii="仿宋_GB2312" w:eastAsia="仿宋_GB2312" w:hAnsi="宋体" w:cs="宋体" w:hint="eastAsia"/>
          <w:sz w:val="32"/>
          <w:szCs w:val="32"/>
        </w:rPr>
        <w:t>专业</w:t>
      </w:r>
      <w:r w:rsidR="00504B25">
        <w:rPr>
          <w:rFonts w:ascii="仿宋_GB2312" w:eastAsia="仿宋_GB2312" w:hAnsi="宋体" w:cs="宋体" w:hint="eastAsia"/>
          <w:sz w:val="32"/>
          <w:szCs w:val="32"/>
        </w:rPr>
        <w:t>法官会议讨论，</w:t>
      </w:r>
      <w:r w:rsidR="00263197">
        <w:rPr>
          <w:rFonts w:ascii="仿宋_GB2312" w:eastAsia="仿宋_GB2312" w:hAnsi="宋体" w:cs="宋体" w:hint="eastAsia"/>
          <w:sz w:val="32"/>
          <w:szCs w:val="32"/>
        </w:rPr>
        <w:t>分管院领导应当参加</w:t>
      </w:r>
      <w:r w:rsidR="00BB7C4F">
        <w:rPr>
          <w:rFonts w:ascii="仿宋_GB2312" w:eastAsia="仿宋_GB2312" w:hAnsi="宋体" w:cs="宋体" w:hint="eastAsia"/>
          <w:sz w:val="32"/>
          <w:szCs w:val="32"/>
        </w:rPr>
        <w:t>该</w:t>
      </w:r>
      <w:r w:rsidR="006E448C">
        <w:rPr>
          <w:rFonts w:ascii="仿宋_GB2312" w:eastAsia="仿宋_GB2312" w:hAnsi="宋体" w:cs="宋体" w:hint="eastAsia"/>
          <w:sz w:val="32"/>
          <w:szCs w:val="32"/>
        </w:rPr>
        <w:t>专业法官会议讨论，</w:t>
      </w:r>
      <w:r w:rsidR="0083559B">
        <w:rPr>
          <w:rFonts w:ascii="仿宋_GB2312" w:eastAsia="仿宋_GB2312" w:hAnsi="宋体" w:cs="宋体" w:hint="eastAsia"/>
          <w:sz w:val="32"/>
          <w:szCs w:val="32"/>
        </w:rPr>
        <w:t>并</w:t>
      </w:r>
      <w:r w:rsidR="00263197">
        <w:rPr>
          <w:rFonts w:ascii="仿宋_GB2312" w:eastAsia="仿宋_GB2312" w:hAnsi="宋体" w:cs="宋体" w:hint="eastAsia"/>
          <w:sz w:val="32"/>
          <w:szCs w:val="32"/>
        </w:rPr>
        <w:t>且应当</w:t>
      </w:r>
      <w:r>
        <w:rPr>
          <w:rFonts w:ascii="仿宋_GB2312" w:eastAsia="仿宋_GB2312" w:hAnsi="宋体" w:cs="宋体" w:hint="eastAsia"/>
          <w:sz w:val="32"/>
          <w:szCs w:val="32"/>
        </w:rPr>
        <w:t>对</w:t>
      </w:r>
      <w:r w:rsidR="00263197">
        <w:rPr>
          <w:rFonts w:ascii="仿宋_GB2312" w:eastAsia="仿宋_GB2312" w:hAnsi="宋体" w:cs="宋体" w:hint="eastAsia"/>
          <w:sz w:val="32"/>
          <w:szCs w:val="32"/>
        </w:rPr>
        <w:t>适用发回重审、指令再审案件</w:t>
      </w:r>
      <w:r w:rsidR="00504B25">
        <w:rPr>
          <w:rFonts w:ascii="仿宋_GB2312" w:eastAsia="仿宋_GB2312" w:hAnsi="宋体" w:cs="宋体" w:hint="eastAsia"/>
          <w:sz w:val="32"/>
          <w:szCs w:val="32"/>
        </w:rPr>
        <w:t>的</w:t>
      </w:r>
      <w:r>
        <w:rPr>
          <w:rFonts w:ascii="仿宋_GB2312" w:eastAsia="仿宋_GB2312" w:hAnsi="宋体" w:cs="宋体" w:hint="eastAsia"/>
          <w:sz w:val="32"/>
          <w:szCs w:val="32"/>
        </w:rPr>
        <w:t>法律依据进行讨论。</w:t>
      </w:r>
    </w:p>
    <w:p w:rsidR="00626BEE" w:rsidRDefault="00626BEE" w:rsidP="00626BEE">
      <w:pPr>
        <w:ind w:firstLine="645"/>
        <w:jc w:val="center"/>
        <w:rPr>
          <w:rFonts w:ascii="仿宋_GB2312" w:eastAsia="仿宋_GB2312" w:hAnsi="宋体" w:cs="宋体"/>
          <w:b/>
          <w:sz w:val="32"/>
          <w:szCs w:val="32"/>
        </w:rPr>
      </w:pPr>
      <w:r w:rsidRPr="00D54225">
        <w:rPr>
          <w:rFonts w:ascii="仿宋_GB2312" w:eastAsia="仿宋_GB2312" w:hAnsi="宋体" w:cs="宋体" w:hint="eastAsia"/>
          <w:b/>
          <w:sz w:val="32"/>
          <w:szCs w:val="32"/>
        </w:rPr>
        <w:t>第二章  民事案件裁判</w:t>
      </w:r>
    </w:p>
    <w:p w:rsidR="00626BEE" w:rsidRDefault="00057C50" w:rsidP="00626BEE">
      <w:pPr>
        <w:ind w:firstLine="645"/>
        <w:rPr>
          <w:rFonts w:ascii="仿宋_GB2312" w:eastAsia="仿宋_GB2312" w:hAnsi="宋体" w:cs="宋体"/>
          <w:sz w:val="32"/>
          <w:szCs w:val="32"/>
        </w:rPr>
      </w:pPr>
      <w:r>
        <w:rPr>
          <w:rFonts w:ascii="仿宋_GB2312" w:eastAsia="仿宋_GB2312" w:hAnsi="宋体" w:cs="宋体" w:hint="eastAsia"/>
          <w:b/>
          <w:sz w:val="32"/>
          <w:szCs w:val="32"/>
        </w:rPr>
        <w:t>第七</w:t>
      </w:r>
      <w:r w:rsidR="00626BEE">
        <w:rPr>
          <w:rFonts w:ascii="仿宋_GB2312" w:eastAsia="仿宋_GB2312" w:hAnsi="宋体" w:cs="宋体" w:hint="eastAsia"/>
          <w:b/>
          <w:sz w:val="32"/>
          <w:szCs w:val="32"/>
        </w:rPr>
        <w:t xml:space="preserve">条 </w:t>
      </w:r>
      <w:r w:rsidR="00514B83">
        <w:rPr>
          <w:rFonts w:ascii="仿宋_GB2312" w:eastAsia="仿宋_GB2312" w:hAnsi="宋体" w:cs="宋体" w:hint="eastAsia"/>
          <w:sz w:val="32"/>
          <w:szCs w:val="32"/>
        </w:rPr>
        <w:t>一审裁判在程序上存在</w:t>
      </w:r>
      <w:r w:rsidR="00953C32">
        <w:rPr>
          <w:rFonts w:ascii="仿宋_GB2312" w:eastAsia="仿宋_GB2312" w:hAnsi="宋体" w:cs="宋体" w:hint="eastAsia"/>
          <w:sz w:val="32"/>
          <w:szCs w:val="32"/>
        </w:rPr>
        <w:t>下列情形</w:t>
      </w:r>
      <w:r w:rsidR="00514B83">
        <w:rPr>
          <w:rFonts w:ascii="仿宋_GB2312" w:eastAsia="仿宋_GB2312" w:hAnsi="宋体" w:cs="宋体" w:hint="eastAsia"/>
          <w:sz w:val="32"/>
          <w:szCs w:val="32"/>
        </w:rPr>
        <w:t>之一的</w:t>
      </w:r>
      <w:r w:rsidR="000F6662">
        <w:rPr>
          <w:rFonts w:ascii="仿宋_GB2312" w:eastAsia="仿宋_GB2312" w:hAnsi="宋体" w:cs="宋体" w:hint="eastAsia"/>
          <w:sz w:val="32"/>
          <w:szCs w:val="32"/>
        </w:rPr>
        <w:t>，二审法院应当</w:t>
      </w:r>
      <w:r w:rsidR="005816F2">
        <w:rPr>
          <w:rFonts w:ascii="仿宋_GB2312" w:eastAsia="仿宋_GB2312" w:hAnsi="宋体" w:cs="宋体" w:hint="eastAsia"/>
          <w:sz w:val="32"/>
          <w:szCs w:val="32"/>
        </w:rPr>
        <w:t>撤销原裁判，发回重审：</w:t>
      </w:r>
    </w:p>
    <w:p w:rsidR="005816F2" w:rsidRDefault="005816F2"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(一)遗漏案件当事人，且不能调解结案的；</w:t>
      </w:r>
    </w:p>
    <w:p w:rsidR="005816F2" w:rsidRDefault="005816F2"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(二)遗漏诉讼请求，且不能调解结案的；</w:t>
      </w:r>
    </w:p>
    <w:p w:rsidR="005816F2" w:rsidRDefault="005816F2"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(三)未经合法传唤缺席判决的；</w:t>
      </w:r>
    </w:p>
    <w:p w:rsidR="005816F2" w:rsidRDefault="005816F2"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(四)审判组织的组成不合法的；</w:t>
      </w:r>
    </w:p>
    <w:p w:rsidR="005816F2" w:rsidRDefault="005816F2"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(五)应当回避的审判人员未回避的；</w:t>
      </w:r>
    </w:p>
    <w:p w:rsidR="005816F2" w:rsidRDefault="005816F2" w:rsidP="00626BEE">
      <w:pPr>
        <w:ind w:firstLine="645"/>
        <w:rPr>
          <w:rFonts w:ascii="仿宋_GB2312" w:eastAsia="仿宋_GB2312" w:hAnsi="宋体" w:cs="宋体"/>
          <w:sz w:val="32"/>
          <w:szCs w:val="32"/>
        </w:rPr>
      </w:pPr>
      <w:r>
        <w:rPr>
          <w:rFonts w:ascii="仿宋_GB2312" w:eastAsia="仿宋_GB2312" w:hAnsi="宋体" w:cs="宋体" w:hint="eastAsia"/>
          <w:sz w:val="32"/>
          <w:szCs w:val="32"/>
        </w:rPr>
        <w:lastRenderedPageBreak/>
        <w:t>(六)无诉讼行为能力人未经法定代理人代为诉讼的；</w:t>
      </w:r>
    </w:p>
    <w:p w:rsidR="005816F2" w:rsidRPr="005816F2" w:rsidRDefault="005816F2"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(七)违法剥夺当事人辩论权利的。</w:t>
      </w:r>
    </w:p>
    <w:p w:rsidR="00626BEE" w:rsidRDefault="00057C50" w:rsidP="00626BEE">
      <w:pPr>
        <w:ind w:firstLine="645"/>
        <w:rPr>
          <w:rFonts w:ascii="仿宋_GB2312" w:eastAsia="仿宋_GB2312" w:hAnsi="宋体" w:cs="宋体"/>
          <w:sz w:val="32"/>
          <w:szCs w:val="32"/>
        </w:rPr>
      </w:pPr>
      <w:r>
        <w:rPr>
          <w:rFonts w:ascii="仿宋_GB2312" w:eastAsia="仿宋_GB2312" w:hAnsi="宋体" w:cs="宋体" w:hint="eastAsia"/>
          <w:b/>
          <w:sz w:val="32"/>
          <w:szCs w:val="32"/>
        </w:rPr>
        <w:t>第八</w:t>
      </w:r>
      <w:r w:rsidR="00626BEE" w:rsidRPr="00D54225">
        <w:rPr>
          <w:rFonts w:ascii="仿宋_GB2312" w:eastAsia="仿宋_GB2312" w:hAnsi="宋体" w:cs="宋体" w:hint="eastAsia"/>
          <w:b/>
          <w:sz w:val="32"/>
          <w:szCs w:val="32"/>
        </w:rPr>
        <w:t xml:space="preserve">条 </w:t>
      </w:r>
      <w:r w:rsidR="00626BEE">
        <w:rPr>
          <w:rFonts w:ascii="仿宋_GB2312" w:eastAsia="仿宋_GB2312" w:hAnsi="宋体" w:cs="宋体" w:hint="eastAsia"/>
          <w:sz w:val="32"/>
          <w:szCs w:val="32"/>
        </w:rPr>
        <w:t>一审裁判在</w:t>
      </w:r>
      <w:r w:rsidR="003741B2">
        <w:rPr>
          <w:rFonts w:ascii="仿宋_GB2312" w:eastAsia="仿宋_GB2312" w:hAnsi="宋体" w:cs="宋体" w:hint="eastAsia"/>
          <w:sz w:val="32"/>
          <w:szCs w:val="32"/>
        </w:rPr>
        <w:t>认定</w:t>
      </w:r>
      <w:r w:rsidR="00514B83">
        <w:rPr>
          <w:rFonts w:ascii="仿宋_GB2312" w:eastAsia="仿宋_GB2312" w:hAnsi="宋体" w:cs="宋体" w:hint="eastAsia"/>
          <w:sz w:val="32"/>
          <w:szCs w:val="32"/>
        </w:rPr>
        <w:t>事实上存在</w:t>
      </w:r>
      <w:r w:rsidR="00953C32">
        <w:rPr>
          <w:rFonts w:ascii="仿宋_GB2312" w:eastAsia="仿宋_GB2312" w:hAnsi="宋体" w:cs="宋体" w:hint="eastAsia"/>
          <w:sz w:val="32"/>
          <w:szCs w:val="32"/>
        </w:rPr>
        <w:t>下列情形</w:t>
      </w:r>
      <w:r w:rsidR="00514B83">
        <w:rPr>
          <w:rFonts w:ascii="仿宋_GB2312" w:eastAsia="仿宋_GB2312" w:hAnsi="宋体" w:cs="宋体" w:hint="eastAsia"/>
          <w:sz w:val="32"/>
          <w:szCs w:val="32"/>
        </w:rPr>
        <w:t>之一的</w:t>
      </w:r>
      <w:r w:rsidR="00626BEE">
        <w:rPr>
          <w:rFonts w:ascii="仿宋_GB2312" w:eastAsia="仿宋_GB2312" w:hAnsi="宋体" w:cs="宋体" w:hint="eastAsia"/>
          <w:sz w:val="32"/>
          <w:szCs w:val="32"/>
        </w:rPr>
        <w:t>，</w:t>
      </w:r>
      <w:r w:rsidR="003741B2">
        <w:rPr>
          <w:rFonts w:ascii="仿宋_GB2312" w:eastAsia="仿宋_GB2312" w:hAnsi="宋体" w:cs="宋体" w:hint="eastAsia"/>
          <w:sz w:val="32"/>
          <w:szCs w:val="32"/>
        </w:rPr>
        <w:t>二审法院可以撤销原判，</w:t>
      </w:r>
      <w:r w:rsidR="00626BEE">
        <w:rPr>
          <w:rFonts w:ascii="仿宋_GB2312" w:eastAsia="仿宋_GB2312" w:hAnsi="宋体" w:cs="宋体" w:hint="eastAsia"/>
          <w:sz w:val="32"/>
          <w:szCs w:val="32"/>
        </w:rPr>
        <w:t>发回重审：</w:t>
      </w:r>
    </w:p>
    <w:p w:rsidR="003741B2" w:rsidRPr="003741B2" w:rsidRDefault="003741B2" w:rsidP="003741B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83559B">
        <w:rPr>
          <w:rFonts w:ascii="仿宋_GB2312" w:eastAsia="仿宋_GB2312" w:hAnsi="宋体" w:cs="宋体" w:hint="eastAsia"/>
          <w:sz w:val="32"/>
          <w:szCs w:val="32"/>
        </w:rPr>
        <w:t>一审法院未对案件基本事实进行</w:t>
      </w:r>
      <w:r w:rsidRPr="003741B2">
        <w:rPr>
          <w:rFonts w:ascii="仿宋_GB2312" w:eastAsia="仿宋_GB2312" w:hAnsi="宋体" w:cs="宋体" w:hint="eastAsia"/>
          <w:sz w:val="32"/>
          <w:szCs w:val="32"/>
        </w:rPr>
        <w:t>审理的；</w:t>
      </w:r>
    </w:p>
    <w:p w:rsidR="00626BEE" w:rsidRDefault="003741B2" w:rsidP="003741B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Pr="003741B2">
        <w:rPr>
          <w:rFonts w:ascii="仿宋_GB2312" w:eastAsia="仿宋_GB2312" w:hAnsi="宋体" w:cs="宋体" w:hint="eastAsia"/>
          <w:sz w:val="32"/>
          <w:szCs w:val="32"/>
        </w:rPr>
        <w:t>一审判决认定事实不清，且二审法院认为需要交</w:t>
      </w:r>
      <w:r>
        <w:rPr>
          <w:rFonts w:ascii="仿宋_GB2312" w:eastAsia="仿宋_GB2312" w:hAnsi="宋体" w:cs="宋体" w:hint="eastAsia"/>
          <w:sz w:val="32"/>
          <w:szCs w:val="32"/>
        </w:rPr>
        <w:t>由一审法院继续查清的；</w:t>
      </w:r>
    </w:p>
    <w:p w:rsidR="004E72BF" w:rsidRPr="002302D8" w:rsidRDefault="004E72BF" w:rsidP="004E72B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(三)一审判决认定</w:t>
      </w:r>
      <w:r w:rsidRPr="002302D8">
        <w:rPr>
          <w:rFonts w:ascii="仿宋_GB2312" w:eastAsia="仿宋_GB2312" w:hAnsi="宋体" w:cs="宋体" w:hint="eastAsia"/>
          <w:sz w:val="32"/>
          <w:szCs w:val="32"/>
        </w:rPr>
        <w:t>事实不清，需要</w:t>
      </w:r>
      <w:r>
        <w:rPr>
          <w:rFonts w:ascii="仿宋_GB2312" w:eastAsia="仿宋_GB2312" w:hAnsi="宋体" w:cs="宋体" w:hint="eastAsia"/>
          <w:sz w:val="32"/>
          <w:szCs w:val="32"/>
        </w:rPr>
        <w:t>进行</w:t>
      </w:r>
      <w:r w:rsidRPr="002302D8">
        <w:rPr>
          <w:rFonts w:ascii="仿宋_GB2312" w:eastAsia="仿宋_GB2312" w:hAnsi="宋体" w:cs="宋体" w:hint="eastAsia"/>
          <w:sz w:val="32"/>
          <w:szCs w:val="32"/>
        </w:rPr>
        <w:t>鉴定</w:t>
      </w:r>
      <w:r>
        <w:rPr>
          <w:rFonts w:ascii="仿宋_GB2312" w:eastAsia="仿宋_GB2312" w:hAnsi="宋体" w:cs="宋体" w:hint="eastAsia"/>
          <w:sz w:val="32"/>
          <w:szCs w:val="32"/>
        </w:rPr>
        <w:t>、补充鉴定</w:t>
      </w:r>
      <w:r w:rsidRPr="002302D8">
        <w:rPr>
          <w:rFonts w:ascii="仿宋_GB2312" w:eastAsia="仿宋_GB2312" w:hAnsi="宋体" w:cs="宋体" w:hint="eastAsia"/>
          <w:sz w:val="32"/>
          <w:szCs w:val="32"/>
        </w:rPr>
        <w:t>或</w:t>
      </w:r>
      <w:r>
        <w:rPr>
          <w:rFonts w:ascii="仿宋_GB2312" w:eastAsia="仿宋_GB2312" w:hAnsi="宋体" w:cs="宋体" w:hint="eastAsia"/>
          <w:sz w:val="32"/>
          <w:szCs w:val="32"/>
        </w:rPr>
        <w:t>者</w:t>
      </w:r>
      <w:r w:rsidRPr="002302D8">
        <w:rPr>
          <w:rFonts w:ascii="仿宋_GB2312" w:eastAsia="仿宋_GB2312" w:hAnsi="宋体" w:cs="宋体" w:hint="eastAsia"/>
          <w:sz w:val="32"/>
          <w:szCs w:val="32"/>
        </w:rPr>
        <w:t>重新鉴定的;</w:t>
      </w:r>
    </w:p>
    <w:p w:rsidR="00CD6B8F" w:rsidRDefault="00CD2D61" w:rsidP="00CD6B8F">
      <w:pPr>
        <w:ind w:firstLine="645"/>
        <w:rPr>
          <w:rFonts w:ascii="仿宋_GB2312" w:eastAsia="仿宋_GB2312" w:hAnsi="宋体" w:cs="宋体"/>
          <w:sz w:val="32"/>
          <w:szCs w:val="32"/>
        </w:rPr>
      </w:pPr>
      <w:r>
        <w:rPr>
          <w:rFonts w:ascii="仿宋_GB2312" w:eastAsia="仿宋_GB2312" w:hAnsi="宋体" w:cs="宋体" w:hint="eastAsia"/>
          <w:sz w:val="32"/>
          <w:szCs w:val="32"/>
        </w:rPr>
        <w:t>(</w:t>
      </w:r>
      <w:r w:rsidR="004E72BF">
        <w:rPr>
          <w:rFonts w:ascii="仿宋_GB2312" w:eastAsia="仿宋_GB2312" w:hAnsi="宋体" w:cs="宋体" w:hint="eastAsia"/>
          <w:sz w:val="32"/>
          <w:szCs w:val="32"/>
        </w:rPr>
        <w:t>四</w:t>
      </w:r>
      <w:r>
        <w:rPr>
          <w:rFonts w:ascii="仿宋_GB2312" w:eastAsia="仿宋_GB2312" w:hAnsi="宋体" w:cs="宋体" w:hint="eastAsia"/>
          <w:sz w:val="32"/>
          <w:szCs w:val="32"/>
        </w:rPr>
        <w:t>)</w:t>
      </w:r>
      <w:r w:rsidR="00CD6B8F" w:rsidRPr="0036758E">
        <w:rPr>
          <w:rFonts w:ascii="仿宋_GB2312" w:eastAsia="仿宋_GB2312" w:hAnsi="宋体" w:cs="宋体" w:hint="eastAsia"/>
          <w:sz w:val="32"/>
          <w:szCs w:val="32"/>
        </w:rPr>
        <w:t>定案证</w:t>
      </w:r>
      <w:r w:rsidR="00CD6B8F">
        <w:rPr>
          <w:rFonts w:ascii="仿宋_GB2312" w:eastAsia="仿宋_GB2312" w:hAnsi="宋体" w:cs="宋体" w:hint="eastAsia"/>
          <w:sz w:val="32"/>
          <w:szCs w:val="32"/>
        </w:rPr>
        <w:t>据未经质证，且当事人不予认可的；</w:t>
      </w:r>
    </w:p>
    <w:p w:rsidR="00CD6B8F" w:rsidRDefault="00CD6B8F" w:rsidP="00CD6B8F">
      <w:pPr>
        <w:ind w:firstLine="645"/>
        <w:rPr>
          <w:rFonts w:ascii="仿宋_GB2312" w:eastAsia="仿宋_GB2312" w:hAnsi="宋体" w:cs="宋体"/>
          <w:sz w:val="32"/>
          <w:szCs w:val="32"/>
        </w:rPr>
      </w:pPr>
      <w:r>
        <w:rPr>
          <w:rFonts w:ascii="仿宋_GB2312" w:eastAsia="仿宋_GB2312" w:hAnsi="宋体" w:cs="宋体" w:hint="eastAsia"/>
          <w:sz w:val="32"/>
          <w:szCs w:val="32"/>
        </w:rPr>
        <w:t>(</w:t>
      </w:r>
      <w:r w:rsidR="004E72BF">
        <w:rPr>
          <w:rFonts w:ascii="仿宋_GB2312" w:eastAsia="仿宋_GB2312" w:hAnsi="宋体" w:cs="宋体" w:hint="eastAsia"/>
          <w:sz w:val="32"/>
          <w:szCs w:val="32"/>
        </w:rPr>
        <w:t>五</w:t>
      </w:r>
      <w:r>
        <w:rPr>
          <w:rFonts w:ascii="仿宋_GB2312" w:eastAsia="仿宋_GB2312" w:hAnsi="宋体" w:cs="宋体" w:hint="eastAsia"/>
          <w:sz w:val="32"/>
          <w:szCs w:val="32"/>
        </w:rPr>
        <w:t>)由于一审法院未依法要求当事人举证，或者错误分配举证责任，使当事人未能提供证据，导致认定事实错误或者认定事实不清的；</w:t>
      </w:r>
    </w:p>
    <w:p w:rsidR="00CD6B8F" w:rsidRDefault="00CD6B8F" w:rsidP="00CD6B8F">
      <w:pPr>
        <w:ind w:firstLine="645"/>
        <w:rPr>
          <w:rFonts w:ascii="仿宋_GB2312" w:eastAsia="仿宋_GB2312" w:hAnsi="宋体" w:cs="宋体"/>
          <w:sz w:val="32"/>
          <w:szCs w:val="32"/>
        </w:rPr>
      </w:pPr>
      <w:r>
        <w:rPr>
          <w:rFonts w:ascii="仿宋_GB2312" w:eastAsia="仿宋_GB2312" w:hAnsi="宋体" w:cs="宋体" w:hint="eastAsia"/>
          <w:sz w:val="32"/>
          <w:szCs w:val="32"/>
        </w:rPr>
        <w:t>(</w:t>
      </w:r>
      <w:r w:rsidR="004E72BF">
        <w:rPr>
          <w:rFonts w:ascii="仿宋_GB2312" w:eastAsia="仿宋_GB2312" w:hAnsi="宋体" w:cs="宋体" w:hint="eastAsia"/>
          <w:sz w:val="32"/>
          <w:szCs w:val="32"/>
        </w:rPr>
        <w:t>六</w:t>
      </w:r>
      <w:r>
        <w:rPr>
          <w:rFonts w:ascii="仿宋_GB2312" w:eastAsia="仿宋_GB2312" w:hAnsi="宋体" w:cs="宋体" w:hint="eastAsia"/>
          <w:sz w:val="32"/>
          <w:szCs w:val="32"/>
        </w:rPr>
        <w:t>)二审法院认为一审判决确认的法律关系的性质或者民事行为的效力错误，当事人根据一审法院的释明变更诉讼请求的，应</w:t>
      </w:r>
      <w:r w:rsidR="003A2F57">
        <w:rPr>
          <w:rFonts w:ascii="仿宋_GB2312" w:eastAsia="仿宋_GB2312" w:hAnsi="宋体" w:cs="宋体" w:hint="eastAsia"/>
          <w:sz w:val="32"/>
          <w:szCs w:val="32"/>
        </w:rPr>
        <w:t>当</w:t>
      </w:r>
      <w:r>
        <w:rPr>
          <w:rFonts w:ascii="仿宋_GB2312" w:eastAsia="仿宋_GB2312" w:hAnsi="宋体" w:cs="宋体" w:hint="eastAsia"/>
          <w:sz w:val="32"/>
          <w:szCs w:val="32"/>
        </w:rPr>
        <w:t>发回重审向当事人重新释明。但一审原告在一审法院履行释明义务后，未变更诉讼请求，且主要证据已经庭审质证的，二审可直接改判。</w:t>
      </w:r>
    </w:p>
    <w:p w:rsidR="00CD6B8F" w:rsidRDefault="00057C50" w:rsidP="00CD6B8F">
      <w:pPr>
        <w:ind w:firstLine="645"/>
        <w:rPr>
          <w:rFonts w:ascii="仿宋_GB2312" w:eastAsia="仿宋_GB2312" w:hAnsi="宋体" w:cs="宋体"/>
          <w:sz w:val="32"/>
          <w:szCs w:val="32"/>
        </w:rPr>
      </w:pPr>
      <w:r>
        <w:rPr>
          <w:rFonts w:ascii="仿宋_GB2312" w:eastAsia="仿宋_GB2312" w:hAnsi="宋体" w:cs="宋体" w:hint="eastAsia"/>
          <w:b/>
          <w:sz w:val="32"/>
          <w:szCs w:val="32"/>
        </w:rPr>
        <w:t>第九</w:t>
      </w:r>
      <w:r w:rsidR="00CD6B8F" w:rsidRPr="00CD6B8F">
        <w:rPr>
          <w:rFonts w:ascii="仿宋_GB2312" w:eastAsia="仿宋_GB2312" w:hAnsi="宋体" w:cs="宋体" w:hint="eastAsia"/>
          <w:b/>
          <w:sz w:val="32"/>
          <w:szCs w:val="32"/>
        </w:rPr>
        <w:t>条</w:t>
      </w:r>
      <w:r w:rsidR="00CD6B8F">
        <w:rPr>
          <w:rFonts w:ascii="仿宋_GB2312" w:eastAsia="仿宋_GB2312" w:hAnsi="宋体" w:cs="宋体" w:hint="eastAsia"/>
          <w:sz w:val="32"/>
          <w:szCs w:val="32"/>
        </w:rPr>
        <w:t xml:space="preserve"> 一审判决不准离婚的案件，二审法院认为应当判</w:t>
      </w:r>
      <w:r w:rsidR="003A2F57">
        <w:rPr>
          <w:rFonts w:ascii="仿宋_GB2312" w:eastAsia="仿宋_GB2312" w:hAnsi="宋体" w:cs="宋体" w:hint="eastAsia"/>
          <w:sz w:val="32"/>
          <w:szCs w:val="32"/>
        </w:rPr>
        <w:t>决离婚，但就离婚及子女抚养、财产问题调解不成的，应当发回</w:t>
      </w:r>
      <w:r w:rsidR="00CD6B8F">
        <w:rPr>
          <w:rFonts w:ascii="仿宋_GB2312" w:eastAsia="仿宋_GB2312" w:hAnsi="宋体" w:cs="宋体" w:hint="eastAsia"/>
          <w:sz w:val="32"/>
          <w:szCs w:val="32"/>
        </w:rPr>
        <w:t>重审。</w:t>
      </w:r>
    </w:p>
    <w:p w:rsidR="00626BEE" w:rsidRDefault="00057C50" w:rsidP="00626BEE">
      <w:pPr>
        <w:ind w:firstLine="645"/>
        <w:rPr>
          <w:rFonts w:ascii="仿宋_GB2312" w:eastAsia="仿宋_GB2312" w:hAnsi="宋体" w:cs="宋体"/>
          <w:sz w:val="32"/>
          <w:szCs w:val="32"/>
        </w:rPr>
      </w:pPr>
      <w:r>
        <w:rPr>
          <w:rFonts w:ascii="仿宋_GB2312" w:eastAsia="仿宋_GB2312" w:hAnsi="宋体" w:cs="宋体" w:hint="eastAsia"/>
          <w:b/>
          <w:sz w:val="32"/>
          <w:szCs w:val="32"/>
        </w:rPr>
        <w:t>第十</w:t>
      </w:r>
      <w:r w:rsidR="00626BEE" w:rsidRPr="00BF54B3">
        <w:rPr>
          <w:rFonts w:ascii="仿宋_GB2312" w:eastAsia="仿宋_GB2312" w:hAnsi="宋体" w:cs="宋体" w:hint="eastAsia"/>
          <w:b/>
          <w:sz w:val="32"/>
          <w:szCs w:val="32"/>
        </w:rPr>
        <w:t>条</w:t>
      </w:r>
      <w:r w:rsidR="00626BEE">
        <w:rPr>
          <w:rFonts w:ascii="仿宋_GB2312" w:eastAsia="仿宋_GB2312" w:hAnsi="宋体" w:cs="宋体" w:hint="eastAsia"/>
          <w:sz w:val="32"/>
          <w:szCs w:val="32"/>
        </w:rPr>
        <w:t xml:space="preserve"> 下列情形不得发回重审：</w:t>
      </w:r>
    </w:p>
    <w:p w:rsidR="00626BEE" w:rsidRDefault="00626BEE" w:rsidP="00626BEE">
      <w:pPr>
        <w:ind w:firstLine="645"/>
        <w:rPr>
          <w:rFonts w:ascii="仿宋_GB2312" w:eastAsia="仿宋_GB2312" w:hAnsi="宋体" w:cs="宋体"/>
          <w:sz w:val="32"/>
          <w:szCs w:val="32"/>
        </w:rPr>
      </w:pPr>
      <w:r>
        <w:rPr>
          <w:rFonts w:ascii="仿宋_GB2312" w:eastAsia="仿宋_GB2312" w:hAnsi="宋体" w:cs="宋体" w:hint="eastAsia"/>
          <w:sz w:val="32"/>
          <w:szCs w:val="32"/>
        </w:rPr>
        <w:lastRenderedPageBreak/>
        <w:t>(一)一审判决认定事实错误，但是二</w:t>
      </w:r>
      <w:r w:rsidR="007A20EE">
        <w:rPr>
          <w:rFonts w:ascii="仿宋_GB2312" w:eastAsia="仿宋_GB2312" w:hAnsi="宋体" w:cs="宋体" w:hint="eastAsia"/>
          <w:sz w:val="32"/>
          <w:szCs w:val="32"/>
        </w:rPr>
        <w:t>审根据一审中已经质证的证据、二审当事人</w:t>
      </w:r>
      <w:r w:rsidR="00CD6B8F">
        <w:rPr>
          <w:rFonts w:ascii="仿宋_GB2312" w:eastAsia="仿宋_GB2312" w:hAnsi="宋体" w:cs="宋体" w:hint="eastAsia"/>
          <w:sz w:val="32"/>
          <w:szCs w:val="32"/>
        </w:rPr>
        <w:t>质证的证据、依法进行</w:t>
      </w:r>
      <w:r>
        <w:rPr>
          <w:rFonts w:ascii="仿宋_GB2312" w:eastAsia="仿宋_GB2312" w:hAnsi="宋体" w:cs="宋体" w:hint="eastAsia"/>
          <w:sz w:val="32"/>
          <w:szCs w:val="32"/>
        </w:rPr>
        <w:t>调查</w:t>
      </w:r>
      <w:r w:rsidR="00CD6B8F">
        <w:rPr>
          <w:rFonts w:ascii="仿宋_GB2312" w:eastAsia="仿宋_GB2312" w:hAnsi="宋体" w:cs="宋体" w:hint="eastAsia"/>
          <w:sz w:val="32"/>
          <w:szCs w:val="32"/>
        </w:rPr>
        <w:t>的结果</w:t>
      </w:r>
      <w:r>
        <w:rPr>
          <w:rFonts w:ascii="仿宋_GB2312" w:eastAsia="仿宋_GB2312" w:hAnsi="宋体" w:cs="宋体" w:hint="eastAsia"/>
          <w:sz w:val="32"/>
          <w:szCs w:val="32"/>
        </w:rPr>
        <w:t>和《最高人民法院关于民事诉讼证据的若干规定》第九条规定的司法认知事项，能够认定事实的；</w:t>
      </w:r>
    </w:p>
    <w:p w:rsidR="00626BEE" w:rsidRDefault="00626BEE"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(二)</w:t>
      </w:r>
      <w:r w:rsidR="00CD6B8F">
        <w:rPr>
          <w:rFonts w:ascii="仿宋_GB2312" w:eastAsia="仿宋_GB2312" w:hAnsi="宋体" w:cs="宋体" w:hint="eastAsia"/>
          <w:sz w:val="32"/>
          <w:szCs w:val="32"/>
        </w:rPr>
        <w:t>对于证据不够确实充分的案件</w:t>
      </w:r>
      <w:r>
        <w:rPr>
          <w:rFonts w:ascii="仿宋_GB2312" w:eastAsia="仿宋_GB2312" w:hAnsi="宋体" w:cs="宋体" w:hint="eastAsia"/>
          <w:sz w:val="32"/>
          <w:szCs w:val="32"/>
        </w:rPr>
        <w:t>，一审法院未根据</w:t>
      </w:r>
      <w:r w:rsidR="00CE73B4">
        <w:rPr>
          <w:rFonts w:ascii="仿宋_GB2312" w:eastAsia="仿宋_GB2312" w:hAnsi="宋体" w:cs="宋体" w:hint="eastAsia"/>
          <w:sz w:val="32"/>
          <w:szCs w:val="32"/>
        </w:rPr>
        <w:t>《最高人民法院关于适用</w:t>
      </w:r>
      <w:r w:rsidR="003850E4">
        <w:rPr>
          <w:rFonts w:ascii="仿宋_GB2312" w:eastAsia="仿宋_GB2312" w:hAnsi="宋体" w:cs="宋体" w:hint="eastAsia"/>
          <w:sz w:val="32"/>
          <w:szCs w:val="32"/>
        </w:rPr>
        <w:t>＜</w:t>
      </w:r>
      <w:r w:rsidR="00CE73B4">
        <w:rPr>
          <w:rFonts w:ascii="仿宋_GB2312" w:eastAsia="仿宋_GB2312" w:hAnsi="宋体" w:cs="宋体" w:hint="eastAsia"/>
          <w:sz w:val="32"/>
          <w:szCs w:val="32"/>
        </w:rPr>
        <w:t>中华人民共和国民事诉讼法＞的解释》第一百零八条</w:t>
      </w:r>
      <w:r>
        <w:rPr>
          <w:rFonts w:ascii="仿宋_GB2312" w:eastAsia="仿宋_GB2312" w:hAnsi="宋体" w:cs="宋体" w:hint="eastAsia"/>
          <w:sz w:val="32"/>
          <w:szCs w:val="32"/>
        </w:rPr>
        <w:t>确定的</w:t>
      </w:r>
      <w:r w:rsidR="003A2F57">
        <w:rPr>
          <w:rFonts w:ascii="仿宋_GB2312" w:eastAsia="仿宋_GB2312" w:hAnsi="宋体" w:cs="宋体" w:hint="eastAsia"/>
          <w:sz w:val="32"/>
          <w:szCs w:val="32"/>
        </w:rPr>
        <w:t>规则</w:t>
      </w:r>
      <w:r w:rsidR="00C93AB5">
        <w:rPr>
          <w:rFonts w:ascii="仿宋_GB2312" w:eastAsia="仿宋_GB2312" w:hAnsi="宋体" w:cs="宋体" w:hint="eastAsia"/>
          <w:sz w:val="32"/>
          <w:szCs w:val="32"/>
        </w:rPr>
        <w:t>认定案件事实，作出裁判的</w:t>
      </w:r>
      <w:r>
        <w:rPr>
          <w:rFonts w:ascii="仿宋_GB2312" w:eastAsia="仿宋_GB2312" w:hAnsi="宋体" w:cs="宋体" w:hint="eastAsia"/>
          <w:sz w:val="32"/>
          <w:szCs w:val="32"/>
        </w:rPr>
        <w:t>；</w:t>
      </w:r>
    </w:p>
    <w:p w:rsidR="00626BEE" w:rsidRDefault="00626BEE"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(三)当事人在二审程序提交了新的证据，可以直接改判的；</w:t>
      </w:r>
    </w:p>
    <w:p w:rsidR="00626BEE" w:rsidRDefault="00626BEE" w:rsidP="00626BEE">
      <w:pPr>
        <w:ind w:firstLine="645"/>
        <w:rPr>
          <w:rFonts w:ascii="仿宋_GB2312" w:eastAsia="仿宋_GB2312" w:hAnsi="宋体" w:cs="宋体"/>
          <w:sz w:val="32"/>
          <w:szCs w:val="32"/>
        </w:rPr>
      </w:pPr>
      <w:r>
        <w:rPr>
          <w:rFonts w:ascii="仿宋_GB2312" w:eastAsia="仿宋_GB2312" w:hAnsi="宋体" w:cs="宋体" w:hint="eastAsia"/>
          <w:sz w:val="32"/>
          <w:szCs w:val="32"/>
        </w:rPr>
        <w:t>(</w:t>
      </w:r>
      <w:r w:rsidR="00D33385">
        <w:rPr>
          <w:rFonts w:ascii="仿宋_GB2312" w:eastAsia="仿宋_GB2312" w:hAnsi="宋体" w:cs="宋体" w:hint="eastAsia"/>
          <w:sz w:val="32"/>
          <w:szCs w:val="32"/>
        </w:rPr>
        <w:t>四</w:t>
      </w:r>
      <w:r>
        <w:rPr>
          <w:rFonts w:ascii="仿宋_GB2312" w:eastAsia="仿宋_GB2312" w:hAnsi="宋体" w:cs="宋体" w:hint="eastAsia"/>
          <w:sz w:val="32"/>
          <w:szCs w:val="32"/>
        </w:rPr>
        <w:t>)一审法院未通知反诉人缴纳案件受理费，又以未缴纳案件受理费为由未审理反诉，反诉方就此提出上诉，二审法院未予调解的。</w:t>
      </w:r>
    </w:p>
    <w:p w:rsidR="00626BEE" w:rsidRDefault="00057C50" w:rsidP="00626BEE">
      <w:pPr>
        <w:ind w:firstLine="645"/>
        <w:rPr>
          <w:rFonts w:ascii="仿宋_GB2312" w:eastAsia="仿宋_GB2312" w:hAnsi="宋体" w:cs="宋体"/>
          <w:sz w:val="32"/>
          <w:szCs w:val="32"/>
        </w:rPr>
      </w:pPr>
      <w:r>
        <w:rPr>
          <w:rFonts w:ascii="仿宋_GB2312" w:eastAsia="仿宋_GB2312" w:hAnsi="宋体" w:cs="宋体" w:hint="eastAsia"/>
          <w:b/>
          <w:sz w:val="32"/>
          <w:szCs w:val="32"/>
        </w:rPr>
        <w:t>第十一</w:t>
      </w:r>
      <w:r w:rsidR="00626BEE" w:rsidRPr="002579E7">
        <w:rPr>
          <w:rFonts w:ascii="仿宋_GB2312" w:eastAsia="仿宋_GB2312" w:hAnsi="宋体" w:cs="宋体" w:hint="eastAsia"/>
          <w:b/>
          <w:sz w:val="32"/>
          <w:szCs w:val="32"/>
        </w:rPr>
        <w:t>条</w:t>
      </w:r>
      <w:r w:rsidR="00134CA2">
        <w:rPr>
          <w:rFonts w:ascii="仿宋_GB2312" w:eastAsia="仿宋_GB2312" w:hAnsi="宋体" w:cs="宋体" w:hint="eastAsia"/>
          <w:b/>
          <w:sz w:val="32"/>
          <w:szCs w:val="32"/>
        </w:rPr>
        <w:t xml:space="preserve"> </w:t>
      </w:r>
      <w:r w:rsidR="00951624">
        <w:rPr>
          <w:rFonts w:ascii="仿宋_GB2312" w:eastAsia="仿宋_GB2312" w:hAnsi="宋体" w:cs="宋体" w:hint="eastAsia"/>
          <w:sz w:val="32"/>
          <w:szCs w:val="32"/>
        </w:rPr>
        <w:t>依照审判监督程序发回重审或者指令再审的，严格按照《最高人民法院</w:t>
      </w:r>
      <w:r w:rsidR="00626BEE">
        <w:rPr>
          <w:rFonts w:ascii="仿宋_GB2312" w:eastAsia="仿宋_GB2312" w:hAnsi="宋体" w:cs="宋体" w:hint="eastAsia"/>
          <w:sz w:val="32"/>
          <w:szCs w:val="32"/>
        </w:rPr>
        <w:t>关</w:t>
      </w:r>
      <w:r w:rsidR="00951624">
        <w:rPr>
          <w:rFonts w:ascii="仿宋_GB2312" w:eastAsia="仿宋_GB2312" w:hAnsi="宋体" w:cs="宋体" w:hint="eastAsia"/>
          <w:sz w:val="32"/>
          <w:szCs w:val="32"/>
        </w:rPr>
        <w:t>于民事审判监督程序严格依法适用指令再审和发回重审若干问题的规定</w:t>
      </w:r>
      <w:r w:rsidR="00626BEE">
        <w:rPr>
          <w:rFonts w:ascii="仿宋_GB2312" w:eastAsia="仿宋_GB2312" w:hAnsi="宋体" w:cs="宋体" w:hint="eastAsia"/>
          <w:sz w:val="32"/>
          <w:szCs w:val="32"/>
        </w:rPr>
        <w:t>》第一条、第二条、第四条、第五条、第六条</w:t>
      </w:r>
      <w:r w:rsidR="0083559B">
        <w:rPr>
          <w:rFonts w:ascii="仿宋_GB2312" w:eastAsia="仿宋_GB2312" w:hAnsi="宋体" w:cs="宋体" w:hint="eastAsia"/>
          <w:sz w:val="32"/>
          <w:szCs w:val="32"/>
        </w:rPr>
        <w:t>的</w:t>
      </w:r>
      <w:r w:rsidR="00626BEE">
        <w:rPr>
          <w:rFonts w:ascii="仿宋_GB2312" w:eastAsia="仿宋_GB2312" w:hAnsi="宋体" w:cs="宋体" w:hint="eastAsia"/>
          <w:sz w:val="32"/>
          <w:szCs w:val="32"/>
        </w:rPr>
        <w:t>规定办理。</w:t>
      </w:r>
    </w:p>
    <w:p w:rsidR="00626BEE" w:rsidRPr="00E86C92" w:rsidRDefault="00626BEE" w:rsidP="001456FC">
      <w:pPr>
        <w:ind w:firstLineChars="900" w:firstLine="2891"/>
        <w:rPr>
          <w:rFonts w:ascii="仿宋_GB2312" w:eastAsia="仿宋_GB2312" w:hAnsi="宋体" w:cs="宋体"/>
          <w:b/>
          <w:sz w:val="32"/>
          <w:szCs w:val="32"/>
        </w:rPr>
      </w:pPr>
      <w:r w:rsidRPr="00E86C92">
        <w:rPr>
          <w:rFonts w:ascii="仿宋_GB2312" w:eastAsia="仿宋_GB2312" w:hAnsi="宋体" w:cs="宋体" w:hint="eastAsia"/>
          <w:b/>
          <w:sz w:val="32"/>
          <w:szCs w:val="32"/>
        </w:rPr>
        <w:t>第三章 刑事案件裁判</w:t>
      </w:r>
    </w:p>
    <w:p w:rsidR="005A62A1" w:rsidRDefault="002710E7" w:rsidP="005A62A1">
      <w:pPr>
        <w:ind w:firstLineChars="200" w:firstLine="627"/>
        <w:rPr>
          <w:rFonts w:ascii="仿宋_GB2312" w:eastAsia="仿宋_GB2312" w:hAnsi="宋体" w:cs="宋体"/>
          <w:spacing w:val="-4"/>
          <w:sz w:val="32"/>
          <w:szCs w:val="32"/>
        </w:rPr>
      </w:pPr>
      <w:r>
        <w:rPr>
          <w:rFonts w:ascii="仿宋_GB2312" w:eastAsia="仿宋_GB2312" w:hAnsi="宋体" w:cs="宋体" w:hint="eastAsia"/>
          <w:b/>
          <w:spacing w:val="-4"/>
          <w:sz w:val="32"/>
          <w:szCs w:val="32"/>
        </w:rPr>
        <w:t>第十</w:t>
      </w:r>
      <w:r w:rsidR="00057C50">
        <w:rPr>
          <w:rFonts w:ascii="仿宋_GB2312" w:eastAsia="仿宋_GB2312" w:hAnsi="宋体" w:cs="宋体" w:hint="eastAsia"/>
          <w:b/>
          <w:spacing w:val="-4"/>
          <w:sz w:val="32"/>
          <w:szCs w:val="32"/>
        </w:rPr>
        <w:t>二</w:t>
      </w:r>
      <w:r w:rsidR="007B2912" w:rsidRPr="00A40528">
        <w:rPr>
          <w:rFonts w:ascii="仿宋_GB2312" w:eastAsia="仿宋_GB2312" w:hAnsi="宋体" w:cs="宋体" w:hint="eastAsia"/>
          <w:b/>
          <w:spacing w:val="-4"/>
          <w:sz w:val="32"/>
          <w:szCs w:val="32"/>
        </w:rPr>
        <w:t xml:space="preserve">条 </w:t>
      </w:r>
      <w:r w:rsidR="00C86AD5">
        <w:rPr>
          <w:rFonts w:ascii="仿宋_GB2312" w:eastAsia="仿宋_GB2312" w:hAnsi="宋体" w:cs="宋体" w:hint="eastAsia"/>
          <w:spacing w:val="-4"/>
          <w:sz w:val="32"/>
          <w:szCs w:val="32"/>
        </w:rPr>
        <w:t>二审法院发现一审法院的审理有下列违反法律规定的情形之一的，应当裁定撤销原判，发</w:t>
      </w:r>
      <w:r w:rsidR="002A7BCC">
        <w:rPr>
          <w:rFonts w:ascii="仿宋_GB2312" w:eastAsia="仿宋_GB2312" w:hAnsi="宋体" w:cs="宋体" w:hint="eastAsia"/>
          <w:spacing w:val="-4"/>
          <w:sz w:val="32"/>
          <w:szCs w:val="32"/>
        </w:rPr>
        <w:t>回</w:t>
      </w:r>
      <w:r w:rsidR="00B248FF">
        <w:rPr>
          <w:rFonts w:ascii="仿宋_GB2312" w:eastAsia="仿宋_GB2312" w:hAnsi="宋体" w:cs="宋体" w:hint="eastAsia"/>
          <w:spacing w:val="-4"/>
          <w:sz w:val="32"/>
          <w:szCs w:val="32"/>
        </w:rPr>
        <w:t>重审</w:t>
      </w:r>
      <w:r w:rsidR="00C86AD5">
        <w:rPr>
          <w:rFonts w:ascii="仿宋_GB2312" w:eastAsia="仿宋_GB2312" w:hAnsi="宋体" w:cs="宋体" w:hint="eastAsia"/>
          <w:spacing w:val="-4"/>
          <w:sz w:val="32"/>
          <w:szCs w:val="32"/>
        </w:rPr>
        <w:t>：</w:t>
      </w:r>
    </w:p>
    <w:p w:rsidR="00C86AD5" w:rsidRDefault="00C86AD5" w:rsidP="00C86AD5">
      <w:pPr>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(一)违反《中华人民共和国刑事诉讼法》有关公开审判的规定的；</w:t>
      </w:r>
    </w:p>
    <w:p w:rsidR="00C86AD5" w:rsidRDefault="00C86AD5" w:rsidP="00C86AD5">
      <w:pPr>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lastRenderedPageBreak/>
        <w:t>(二)违反回避制度的；</w:t>
      </w:r>
    </w:p>
    <w:p w:rsidR="00C86AD5" w:rsidRDefault="00C86AD5" w:rsidP="00C86AD5">
      <w:pPr>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(三)剥夺或者限制了当事人的法定诉讼权利，可能影响公正审判的；</w:t>
      </w:r>
    </w:p>
    <w:p w:rsidR="00C86AD5" w:rsidRDefault="00C86AD5" w:rsidP="00C86AD5">
      <w:pPr>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(四)审判组织的组成不合法的；</w:t>
      </w:r>
    </w:p>
    <w:p w:rsidR="00C86AD5" w:rsidRDefault="00446DEA" w:rsidP="00C86AD5">
      <w:pPr>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(五)原审法院对于发回重新审判的案件未另行</w:t>
      </w:r>
      <w:r w:rsidR="00B248FF">
        <w:rPr>
          <w:rFonts w:ascii="仿宋_GB2312" w:eastAsia="仿宋_GB2312" w:hAnsi="宋体" w:cs="宋体" w:hint="eastAsia"/>
          <w:spacing w:val="-4"/>
          <w:sz w:val="32"/>
          <w:szCs w:val="32"/>
        </w:rPr>
        <w:t>组成合议庭的；</w:t>
      </w:r>
    </w:p>
    <w:p w:rsidR="00B248FF" w:rsidRPr="00B248FF" w:rsidRDefault="00B248FF" w:rsidP="00C86AD5">
      <w:pPr>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(六)其他违反法律规定的诉讼程序，可能影响公正审判的。</w:t>
      </w:r>
    </w:p>
    <w:p w:rsidR="00A40528" w:rsidRDefault="004153AB" w:rsidP="00430AFB">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第十</w:t>
      </w:r>
      <w:r w:rsidR="00057C50">
        <w:rPr>
          <w:rFonts w:ascii="仿宋_GB2312" w:eastAsia="仿宋_GB2312" w:hAnsi="宋体" w:cs="宋体" w:hint="eastAsia"/>
          <w:b/>
          <w:sz w:val="32"/>
          <w:szCs w:val="32"/>
        </w:rPr>
        <w:t>三</w:t>
      </w:r>
      <w:r w:rsidR="00296D2F">
        <w:rPr>
          <w:rFonts w:ascii="仿宋_GB2312" w:eastAsia="仿宋_GB2312" w:hAnsi="宋体" w:cs="宋体" w:hint="eastAsia"/>
          <w:b/>
          <w:sz w:val="32"/>
          <w:szCs w:val="32"/>
        </w:rPr>
        <w:t xml:space="preserve">条 </w:t>
      </w:r>
      <w:r w:rsidR="00A84E8B">
        <w:rPr>
          <w:rFonts w:ascii="仿宋_GB2312" w:eastAsia="仿宋_GB2312" w:hAnsi="宋体" w:cs="宋体" w:hint="eastAsia"/>
          <w:sz w:val="32"/>
          <w:szCs w:val="32"/>
        </w:rPr>
        <w:t>二审审理期间</w:t>
      </w:r>
      <w:r w:rsidR="00296D2F">
        <w:rPr>
          <w:rFonts w:ascii="仿宋_GB2312" w:eastAsia="仿宋_GB2312" w:hAnsi="宋体" w:cs="宋体" w:hint="eastAsia"/>
          <w:sz w:val="32"/>
          <w:szCs w:val="32"/>
        </w:rPr>
        <w:t>发现被告人有漏罪或遗漏的犯罪事实，需要</w:t>
      </w:r>
      <w:r w:rsidR="000C1332">
        <w:rPr>
          <w:rFonts w:ascii="仿宋_GB2312" w:eastAsia="仿宋_GB2312" w:hAnsi="宋体" w:cs="宋体" w:hint="eastAsia"/>
          <w:sz w:val="32"/>
          <w:szCs w:val="32"/>
        </w:rPr>
        <w:t>合并</w:t>
      </w:r>
      <w:r w:rsidR="00296D2F">
        <w:rPr>
          <w:rFonts w:ascii="仿宋_GB2312" w:eastAsia="仿宋_GB2312" w:hAnsi="宋体" w:cs="宋体" w:hint="eastAsia"/>
          <w:sz w:val="32"/>
          <w:szCs w:val="32"/>
        </w:rPr>
        <w:t>审理的</w:t>
      </w:r>
      <w:r w:rsidR="00A40528">
        <w:rPr>
          <w:rFonts w:ascii="仿宋_GB2312" w:eastAsia="仿宋_GB2312" w:hAnsi="宋体" w:cs="宋体" w:hint="eastAsia"/>
          <w:sz w:val="32"/>
          <w:szCs w:val="32"/>
        </w:rPr>
        <w:t>，</w:t>
      </w:r>
      <w:r w:rsidR="00A40528" w:rsidRPr="002D389B">
        <w:rPr>
          <w:rFonts w:ascii="仿宋_GB2312" w:eastAsia="仿宋_GB2312" w:hAnsi="宋体" w:cs="宋体" w:hint="eastAsia"/>
          <w:sz w:val="32"/>
          <w:szCs w:val="32"/>
        </w:rPr>
        <w:t>应当</w:t>
      </w:r>
      <w:r w:rsidR="00544E01">
        <w:rPr>
          <w:rFonts w:ascii="仿宋_GB2312" w:eastAsia="仿宋_GB2312" w:hAnsi="宋体" w:cs="宋体" w:hint="eastAsia"/>
          <w:sz w:val="32"/>
          <w:szCs w:val="32"/>
        </w:rPr>
        <w:t>裁定撤销原判，发回原审</w:t>
      </w:r>
      <w:r w:rsidR="00B248FF">
        <w:rPr>
          <w:rFonts w:ascii="仿宋_GB2312" w:eastAsia="仿宋_GB2312" w:hAnsi="宋体" w:cs="宋体" w:hint="eastAsia"/>
          <w:sz w:val="32"/>
          <w:szCs w:val="32"/>
        </w:rPr>
        <w:t>法院重审</w:t>
      </w:r>
      <w:r w:rsidR="00A40528">
        <w:rPr>
          <w:rFonts w:ascii="仿宋_GB2312" w:eastAsia="仿宋_GB2312" w:hAnsi="宋体" w:cs="宋体" w:hint="eastAsia"/>
          <w:sz w:val="32"/>
          <w:szCs w:val="32"/>
        </w:rPr>
        <w:t>。</w:t>
      </w:r>
    </w:p>
    <w:p w:rsidR="00A84E8B" w:rsidRPr="005A62A1" w:rsidRDefault="00057C50" w:rsidP="00A84E8B">
      <w:pPr>
        <w:ind w:firstLineChars="200" w:firstLine="643"/>
        <w:rPr>
          <w:rFonts w:ascii="仿宋_GB2312" w:eastAsia="仿宋_GB2312" w:hAnsi="宋体" w:cs="宋体"/>
          <w:spacing w:val="-4"/>
          <w:sz w:val="32"/>
          <w:szCs w:val="32"/>
        </w:rPr>
      </w:pPr>
      <w:r>
        <w:rPr>
          <w:rFonts w:ascii="仿宋_GB2312" w:eastAsia="仿宋_GB2312" w:hAnsi="宋体" w:cs="宋体" w:hint="eastAsia"/>
          <w:b/>
          <w:sz w:val="32"/>
          <w:szCs w:val="32"/>
        </w:rPr>
        <w:t>第十四</w:t>
      </w:r>
      <w:r w:rsidR="00A84E8B" w:rsidRPr="00A84E8B">
        <w:rPr>
          <w:rFonts w:ascii="仿宋_GB2312" w:eastAsia="仿宋_GB2312" w:hAnsi="宋体" w:cs="宋体" w:hint="eastAsia"/>
          <w:b/>
          <w:sz w:val="32"/>
          <w:szCs w:val="32"/>
        </w:rPr>
        <w:t>条</w:t>
      </w:r>
      <w:r w:rsidR="00A84E8B">
        <w:rPr>
          <w:rFonts w:ascii="仿宋_GB2312" w:eastAsia="仿宋_GB2312" w:hAnsi="宋体" w:cs="宋体" w:hint="eastAsia"/>
          <w:sz w:val="32"/>
          <w:szCs w:val="32"/>
        </w:rPr>
        <w:t xml:space="preserve"> 二审审理期间发现新的被告人</w:t>
      </w:r>
      <w:r w:rsidR="00005B70">
        <w:rPr>
          <w:rFonts w:ascii="仿宋_GB2312" w:eastAsia="仿宋_GB2312" w:hAnsi="宋体" w:cs="宋体" w:hint="eastAsia"/>
          <w:sz w:val="32"/>
          <w:szCs w:val="32"/>
        </w:rPr>
        <w:t>，</w:t>
      </w:r>
      <w:r w:rsidR="00A84E8B">
        <w:rPr>
          <w:rFonts w:ascii="仿宋_GB2312" w:eastAsia="仿宋_GB2312" w:hAnsi="宋体" w:cs="宋体" w:hint="eastAsia"/>
          <w:sz w:val="32"/>
          <w:szCs w:val="32"/>
        </w:rPr>
        <w:t>或是同案被抓获，需要合并审理的，应当裁定</w:t>
      </w:r>
      <w:r w:rsidR="00B248FF">
        <w:rPr>
          <w:rFonts w:ascii="仿宋_GB2312" w:eastAsia="仿宋_GB2312" w:hAnsi="宋体" w:cs="宋体" w:hint="eastAsia"/>
          <w:spacing w:val="-4"/>
          <w:sz w:val="32"/>
          <w:szCs w:val="32"/>
        </w:rPr>
        <w:t>撤销原判，发回重审</w:t>
      </w:r>
      <w:r w:rsidR="00A84E8B" w:rsidRPr="00A40528">
        <w:rPr>
          <w:rFonts w:ascii="仿宋_GB2312" w:eastAsia="仿宋_GB2312" w:hAnsi="宋体" w:cs="宋体" w:hint="eastAsia"/>
          <w:spacing w:val="-4"/>
          <w:sz w:val="32"/>
          <w:szCs w:val="32"/>
        </w:rPr>
        <w:t>。</w:t>
      </w:r>
    </w:p>
    <w:p w:rsidR="00296D2F" w:rsidRDefault="00057C50" w:rsidP="00A40528">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第十五</w:t>
      </w:r>
      <w:r w:rsidR="00A40528" w:rsidRPr="00A40528">
        <w:rPr>
          <w:rFonts w:ascii="仿宋_GB2312" w:eastAsia="仿宋_GB2312" w:hAnsi="宋体" w:cs="宋体" w:hint="eastAsia"/>
          <w:b/>
          <w:sz w:val="32"/>
          <w:szCs w:val="32"/>
        </w:rPr>
        <w:t xml:space="preserve">条 </w:t>
      </w:r>
      <w:r w:rsidR="00E9067D">
        <w:rPr>
          <w:rFonts w:ascii="仿宋_GB2312" w:eastAsia="仿宋_GB2312" w:hAnsi="宋体" w:cs="宋体" w:hint="eastAsia"/>
          <w:sz w:val="32"/>
          <w:szCs w:val="32"/>
        </w:rPr>
        <w:t>上级</w:t>
      </w:r>
      <w:r w:rsidR="00A40528">
        <w:rPr>
          <w:rFonts w:ascii="仿宋_GB2312" w:eastAsia="仿宋_GB2312" w:hAnsi="宋体" w:cs="宋体" w:hint="eastAsia"/>
          <w:sz w:val="32"/>
          <w:szCs w:val="32"/>
        </w:rPr>
        <w:t>法院发回重审的案件，明确要求发回</w:t>
      </w:r>
      <w:r w:rsidR="00BA2237">
        <w:rPr>
          <w:rFonts w:ascii="仿宋_GB2312" w:eastAsia="仿宋_GB2312" w:hAnsi="宋体" w:cs="宋体" w:hint="eastAsia"/>
          <w:sz w:val="32"/>
          <w:szCs w:val="32"/>
        </w:rPr>
        <w:t>原</w:t>
      </w:r>
      <w:r w:rsidR="00A40528">
        <w:rPr>
          <w:rFonts w:ascii="仿宋_GB2312" w:eastAsia="仿宋_GB2312" w:hAnsi="宋体" w:cs="宋体" w:hint="eastAsia"/>
          <w:sz w:val="32"/>
          <w:szCs w:val="32"/>
        </w:rPr>
        <w:t>审法院</w:t>
      </w:r>
      <w:r w:rsidR="002F1C7D">
        <w:rPr>
          <w:rFonts w:ascii="仿宋_GB2312" w:eastAsia="仿宋_GB2312" w:hAnsi="宋体" w:cs="宋体" w:hint="eastAsia"/>
          <w:sz w:val="32"/>
          <w:szCs w:val="32"/>
        </w:rPr>
        <w:t>审判，</w:t>
      </w:r>
      <w:r w:rsidR="00A40528">
        <w:rPr>
          <w:rFonts w:ascii="仿宋_GB2312" w:eastAsia="仿宋_GB2312" w:hAnsi="宋体" w:cs="宋体" w:hint="eastAsia"/>
          <w:sz w:val="32"/>
          <w:szCs w:val="32"/>
        </w:rPr>
        <w:t>或者发</w:t>
      </w:r>
      <w:r w:rsidR="00BA2237">
        <w:rPr>
          <w:rFonts w:ascii="仿宋_GB2312" w:eastAsia="仿宋_GB2312" w:hAnsi="宋体" w:cs="宋体" w:hint="eastAsia"/>
          <w:sz w:val="32"/>
          <w:szCs w:val="32"/>
        </w:rPr>
        <w:t>回原</w:t>
      </w:r>
      <w:r w:rsidR="00A40528">
        <w:rPr>
          <w:rFonts w:ascii="仿宋_GB2312" w:eastAsia="仿宋_GB2312" w:hAnsi="宋体" w:cs="宋体" w:hint="eastAsia"/>
          <w:sz w:val="32"/>
          <w:szCs w:val="32"/>
        </w:rPr>
        <w:t>审法院</w:t>
      </w:r>
      <w:r w:rsidR="002F1C7D">
        <w:rPr>
          <w:rFonts w:ascii="仿宋_GB2312" w:eastAsia="仿宋_GB2312" w:hAnsi="宋体" w:cs="宋体" w:hint="eastAsia"/>
          <w:sz w:val="32"/>
          <w:szCs w:val="32"/>
        </w:rPr>
        <w:t>审判</w:t>
      </w:r>
      <w:r w:rsidR="00A40528">
        <w:rPr>
          <w:rFonts w:ascii="仿宋_GB2312" w:eastAsia="仿宋_GB2312" w:hAnsi="宋体" w:cs="宋体" w:hint="eastAsia"/>
          <w:sz w:val="32"/>
          <w:szCs w:val="32"/>
        </w:rPr>
        <w:t>效果更好</w:t>
      </w:r>
      <w:r w:rsidR="00FA54C3">
        <w:rPr>
          <w:rFonts w:ascii="仿宋_GB2312" w:eastAsia="仿宋_GB2312" w:hAnsi="宋体" w:cs="宋体" w:hint="eastAsia"/>
          <w:sz w:val="32"/>
          <w:szCs w:val="32"/>
        </w:rPr>
        <w:t>、更有利于</w:t>
      </w:r>
      <w:r w:rsidR="00E34DE7">
        <w:rPr>
          <w:rFonts w:ascii="仿宋_GB2312" w:eastAsia="仿宋_GB2312" w:hAnsi="宋体" w:cs="宋体" w:hint="eastAsia"/>
          <w:sz w:val="32"/>
          <w:szCs w:val="32"/>
        </w:rPr>
        <w:t>解决</w:t>
      </w:r>
      <w:r w:rsidR="00FA54C3">
        <w:rPr>
          <w:rFonts w:ascii="仿宋_GB2312" w:eastAsia="仿宋_GB2312" w:hAnsi="宋体" w:cs="宋体" w:hint="eastAsia"/>
          <w:sz w:val="32"/>
          <w:szCs w:val="32"/>
        </w:rPr>
        <w:t>问题</w:t>
      </w:r>
      <w:r w:rsidR="00A40528">
        <w:rPr>
          <w:rFonts w:ascii="仿宋_GB2312" w:eastAsia="仿宋_GB2312" w:hAnsi="宋体" w:cs="宋体" w:hint="eastAsia"/>
          <w:sz w:val="32"/>
          <w:szCs w:val="32"/>
        </w:rPr>
        <w:t>的，</w:t>
      </w:r>
      <w:r w:rsidR="00A40528" w:rsidRPr="002D389B">
        <w:rPr>
          <w:rFonts w:ascii="仿宋_GB2312" w:eastAsia="仿宋_GB2312" w:hAnsi="宋体" w:cs="宋体" w:hint="eastAsia"/>
          <w:sz w:val="32"/>
          <w:szCs w:val="32"/>
        </w:rPr>
        <w:t>应当</w:t>
      </w:r>
      <w:r w:rsidR="00A40528" w:rsidRPr="00A40528">
        <w:rPr>
          <w:rFonts w:ascii="仿宋_GB2312" w:eastAsia="仿宋_GB2312" w:hAnsi="宋体" w:cs="宋体" w:hint="eastAsia"/>
          <w:sz w:val="32"/>
          <w:szCs w:val="32"/>
        </w:rPr>
        <w:t>裁定撤销原判，发回</w:t>
      </w:r>
      <w:r w:rsidR="00B248FF">
        <w:rPr>
          <w:rFonts w:ascii="仿宋_GB2312" w:eastAsia="仿宋_GB2312" w:hAnsi="宋体" w:cs="宋体" w:hint="eastAsia"/>
          <w:sz w:val="32"/>
          <w:szCs w:val="32"/>
        </w:rPr>
        <w:t>重审</w:t>
      </w:r>
      <w:r w:rsidR="00A40528" w:rsidRPr="00A40528">
        <w:rPr>
          <w:rFonts w:ascii="仿宋_GB2312" w:eastAsia="仿宋_GB2312" w:hAnsi="宋体" w:cs="宋体" w:hint="eastAsia"/>
          <w:sz w:val="32"/>
          <w:szCs w:val="32"/>
        </w:rPr>
        <w:t>。</w:t>
      </w:r>
    </w:p>
    <w:p w:rsidR="00430AFB" w:rsidRDefault="00430AFB" w:rsidP="00430AFB">
      <w:pPr>
        <w:ind w:firstLineChars="200" w:firstLine="643"/>
        <w:rPr>
          <w:rFonts w:ascii="仿宋_GB2312" w:eastAsia="仿宋_GB2312" w:hAnsi="宋体" w:cs="宋体"/>
          <w:sz w:val="32"/>
          <w:szCs w:val="32"/>
        </w:rPr>
      </w:pPr>
      <w:r w:rsidRPr="00430AFB">
        <w:rPr>
          <w:rFonts w:ascii="仿宋_GB2312" w:eastAsia="仿宋_GB2312" w:hAnsi="宋体" w:cs="宋体" w:hint="eastAsia"/>
          <w:b/>
          <w:sz w:val="32"/>
          <w:szCs w:val="32"/>
        </w:rPr>
        <w:t>第十</w:t>
      </w:r>
      <w:r w:rsidR="00E9067D">
        <w:rPr>
          <w:rFonts w:ascii="仿宋_GB2312" w:eastAsia="仿宋_GB2312" w:hAnsi="宋体" w:cs="宋体" w:hint="eastAsia"/>
          <w:b/>
          <w:sz w:val="32"/>
          <w:szCs w:val="32"/>
        </w:rPr>
        <w:t>六</w:t>
      </w:r>
      <w:r w:rsidRPr="00430AFB">
        <w:rPr>
          <w:rFonts w:ascii="仿宋_GB2312" w:eastAsia="仿宋_GB2312" w:hAnsi="宋体" w:cs="宋体" w:hint="eastAsia"/>
          <w:b/>
          <w:sz w:val="32"/>
          <w:szCs w:val="32"/>
        </w:rPr>
        <w:t xml:space="preserve">条 </w:t>
      </w:r>
      <w:r w:rsidR="00F376B8" w:rsidRPr="00F376B8">
        <w:rPr>
          <w:rFonts w:ascii="仿宋_GB2312" w:eastAsia="仿宋_GB2312" w:hAnsi="宋体" w:cs="宋体" w:hint="eastAsia"/>
          <w:sz w:val="32"/>
          <w:szCs w:val="32"/>
        </w:rPr>
        <w:t>原审</w:t>
      </w:r>
      <w:r w:rsidR="007B1470">
        <w:rPr>
          <w:rFonts w:ascii="仿宋_GB2312" w:eastAsia="仿宋_GB2312" w:hAnsi="宋体" w:cs="宋体" w:hint="eastAsia"/>
          <w:sz w:val="32"/>
          <w:szCs w:val="32"/>
        </w:rPr>
        <w:t>裁判在认定事实或者</w:t>
      </w:r>
      <w:r w:rsidR="00F376B8">
        <w:rPr>
          <w:rFonts w:ascii="仿宋_GB2312" w:eastAsia="仿宋_GB2312" w:hAnsi="宋体" w:cs="宋体" w:hint="eastAsia"/>
          <w:sz w:val="32"/>
          <w:szCs w:val="32"/>
        </w:rPr>
        <w:t>证据方面</w:t>
      </w:r>
      <w:r w:rsidR="004A2288">
        <w:rPr>
          <w:rFonts w:ascii="仿宋_GB2312" w:eastAsia="仿宋_GB2312" w:hAnsi="宋体" w:cs="宋体" w:hint="eastAsia"/>
          <w:sz w:val="32"/>
          <w:szCs w:val="32"/>
        </w:rPr>
        <w:t>存在下列情形</w:t>
      </w:r>
      <w:r w:rsidR="007B1470">
        <w:rPr>
          <w:rFonts w:ascii="仿宋_GB2312" w:eastAsia="仿宋_GB2312" w:hAnsi="宋体" w:cs="宋体" w:hint="eastAsia"/>
          <w:sz w:val="32"/>
          <w:szCs w:val="32"/>
        </w:rPr>
        <w:t>之一的，</w:t>
      </w:r>
      <w:r w:rsidRPr="002D389B">
        <w:rPr>
          <w:rFonts w:ascii="仿宋_GB2312" w:eastAsia="仿宋_GB2312" w:hAnsi="宋体" w:cs="宋体" w:hint="eastAsia"/>
          <w:sz w:val="32"/>
          <w:szCs w:val="32"/>
        </w:rPr>
        <w:t>可以</w:t>
      </w:r>
      <w:r w:rsidR="00C53B70">
        <w:rPr>
          <w:rFonts w:ascii="仿宋_GB2312" w:eastAsia="仿宋_GB2312" w:hAnsi="宋体" w:cs="宋体" w:hint="eastAsia"/>
          <w:sz w:val="32"/>
          <w:szCs w:val="32"/>
        </w:rPr>
        <w:t>裁定撤销原判，发回重审</w:t>
      </w:r>
      <w:r w:rsidR="002F1C7D">
        <w:rPr>
          <w:rFonts w:ascii="仿宋_GB2312" w:eastAsia="仿宋_GB2312" w:hAnsi="宋体" w:cs="宋体" w:hint="eastAsia"/>
          <w:sz w:val="32"/>
          <w:szCs w:val="32"/>
        </w:rPr>
        <w:t>：</w:t>
      </w:r>
    </w:p>
    <w:p w:rsidR="002F1C7D" w:rsidRDefault="002F1C7D" w:rsidP="002F1C7D">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（一）案件事实不清，</w:t>
      </w:r>
      <w:r w:rsidR="00D33D36">
        <w:rPr>
          <w:rFonts w:ascii="仿宋_GB2312" w:eastAsia="仿宋_GB2312" w:hAnsi="宋体" w:cs="宋体" w:hint="eastAsia"/>
          <w:sz w:val="32"/>
          <w:szCs w:val="32"/>
        </w:rPr>
        <w:t>定案</w:t>
      </w:r>
      <w:r>
        <w:rPr>
          <w:rFonts w:ascii="仿宋_GB2312" w:eastAsia="仿宋_GB2312" w:hAnsi="宋体" w:cs="宋体" w:hint="eastAsia"/>
          <w:sz w:val="32"/>
          <w:szCs w:val="32"/>
        </w:rPr>
        <w:t>证据存在</w:t>
      </w:r>
      <w:r w:rsidR="00D33D36">
        <w:rPr>
          <w:rFonts w:ascii="仿宋_GB2312" w:eastAsia="仿宋_GB2312" w:hAnsi="宋体" w:cs="宋体" w:hint="eastAsia"/>
          <w:sz w:val="32"/>
          <w:szCs w:val="32"/>
        </w:rPr>
        <w:t>瑕疵或证据间存在</w:t>
      </w:r>
      <w:r>
        <w:rPr>
          <w:rFonts w:ascii="仿宋_GB2312" w:eastAsia="仿宋_GB2312" w:hAnsi="宋体" w:cs="宋体" w:hint="eastAsia"/>
          <w:sz w:val="32"/>
          <w:szCs w:val="32"/>
        </w:rPr>
        <w:t>明显的矛盾点</w:t>
      </w:r>
      <w:r w:rsidR="00D33D36">
        <w:rPr>
          <w:rFonts w:ascii="仿宋_GB2312" w:eastAsia="仿宋_GB2312" w:hAnsi="宋体" w:cs="宋体" w:hint="eastAsia"/>
          <w:sz w:val="32"/>
          <w:szCs w:val="32"/>
        </w:rPr>
        <w:t>，需要</w:t>
      </w:r>
      <w:r w:rsidR="000A4CFA">
        <w:rPr>
          <w:rFonts w:ascii="仿宋_GB2312" w:eastAsia="仿宋_GB2312" w:hAnsi="宋体" w:cs="宋体" w:hint="eastAsia"/>
          <w:sz w:val="32"/>
          <w:szCs w:val="32"/>
        </w:rPr>
        <w:t>补充侦查或者重新鉴定</w:t>
      </w:r>
      <w:r w:rsidR="00D33D36">
        <w:rPr>
          <w:rFonts w:ascii="仿宋_GB2312" w:eastAsia="仿宋_GB2312" w:hAnsi="宋体" w:cs="宋体" w:hint="eastAsia"/>
          <w:sz w:val="32"/>
          <w:szCs w:val="32"/>
        </w:rPr>
        <w:t>，检察机关提出建议的；</w:t>
      </w:r>
    </w:p>
    <w:p w:rsidR="005B5813" w:rsidRDefault="005B5813" w:rsidP="002F1C7D">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（二）定案的主要证据未经庭审质证，当事人提出异议且二审无法弥补的</w:t>
      </w:r>
      <w:r w:rsidR="00F45A36">
        <w:rPr>
          <w:rFonts w:ascii="仿宋_GB2312" w:eastAsia="仿宋_GB2312" w:hAnsi="宋体" w:cs="宋体" w:hint="eastAsia"/>
          <w:sz w:val="32"/>
          <w:szCs w:val="32"/>
        </w:rPr>
        <w:t>。</w:t>
      </w:r>
    </w:p>
    <w:p w:rsidR="00BA2237" w:rsidRPr="00BA2237" w:rsidRDefault="00057C50" w:rsidP="00BA2237">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lastRenderedPageBreak/>
        <w:t>第十</w:t>
      </w:r>
      <w:r w:rsidR="00E9067D">
        <w:rPr>
          <w:rFonts w:ascii="仿宋_GB2312" w:eastAsia="仿宋_GB2312" w:hAnsi="宋体" w:cs="宋体" w:hint="eastAsia"/>
          <w:b/>
          <w:sz w:val="32"/>
          <w:szCs w:val="32"/>
        </w:rPr>
        <w:t>七</w:t>
      </w:r>
      <w:r w:rsidR="00BA2237" w:rsidRPr="00BA2237">
        <w:rPr>
          <w:rFonts w:ascii="仿宋_GB2312" w:eastAsia="仿宋_GB2312" w:hAnsi="宋体" w:cs="宋体" w:hint="eastAsia"/>
          <w:b/>
          <w:sz w:val="32"/>
          <w:szCs w:val="32"/>
        </w:rPr>
        <w:t xml:space="preserve">条 </w:t>
      </w:r>
      <w:r w:rsidR="00BA2237" w:rsidRPr="00BA2237">
        <w:rPr>
          <w:rFonts w:ascii="仿宋_GB2312" w:eastAsia="仿宋_GB2312" w:hAnsi="宋体" w:cs="宋体" w:hint="eastAsia"/>
          <w:sz w:val="32"/>
          <w:szCs w:val="32"/>
        </w:rPr>
        <w:t>下列情形不得发回重审</w:t>
      </w:r>
      <w:r w:rsidR="00F45A36">
        <w:rPr>
          <w:rFonts w:ascii="仿宋_GB2312" w:eastAsia="仿宋_GB2312" w:hAnsi="宋体" w:cs="宋体" w:hint="eastAsia"/>
          <w:sz w:val="32"/>
          <w:szCs w:val="32"/>
        </w:rPr>
        <w:t>：</w:t>
      </w:r>
    </w:p>
    <w:p w:rsidR="005B5813" w:rsidRDefault="002C4CCA" w:rsidP="00BA223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（一）原判事实不清、证据不足，二审法院</w:t>
      </w:r>
      <w:r w:rsidR="005B2716">
        <w:rPr>
          <w:rFonts w:ascii="仿宋_GB2312" w:eastAsia="仿宋_GB2312" w:hAnsi="宋体" w:cs="宋体" w:hint="eastAsia"/>
          <w:sz w:val="32"/>
          <w:szCs w:val="32"/>
        </w:rPr>
        <w:t>发回重新审判的案件，原审法院重新作出判决后，被告人上诉或者检察机关</w:t>
      </w:r>
      <w:r>
        <w:rPr>
          <w:rFonts w:ascii="仿宋_GB2312" w:eastAsia="仿宋_GB2312" w:hAnsi="宋体" w:cs="宋体" w:hint="eastAsia"/>
          <w:sz w:val="32"/>
          <w:szCs w:val="32"/>
        </w:rPr>
        <w:t>抗诉的，二审</w:t>
      </w:r>
      <w:r w:rsidR="00BA2237">
        <w:rPr>
          <w:rFonts w:ascii="仿宋_GB2312" w:eastAsia="仿宋_GB2312" w:hAnsi="宋体" w:cs="宋体" w:hint="eastAsia"/>
          <w:sz w:val="32"/>
          <w:szCs w:val="32"/>
        </w:rPr>
        <w:t>法院应当依法作出判决、裁定，不得再</w:t>
      </w:r>
      <w:r w:rsidR="00230A31">
        <w:rPr>
          <w:rFonts w:ascii="仿宋_GB2312" w:eastAsia="仿宋_GB2312" w:hAnsi="宋体" w:cs="宋体" w:hint="eastAsia"/>
          <w:sz w:val="32"/>
          <w:szCs w:val="32"/>
        </w:rPr>
        <w:t>次</w:t>
      </w:r>
      <w:r w:rsidR="0095348F">
        <w:rPr>
          <w:rFonts w:ascii="仿宋_GB2312" w:eastAsia="仿宋_GB2312" w:hAnsi="宋体" w:cs="宋体" w:hint="eastAsia"/>
          <w:sz w:val="32"/>
          <w:szCs w:val="32"/>
        </w:rPr>
        <w:t>发回重审</w:t>
      </w:r>
      <w:r w:rsidR="008A1904">
        <w:rPr>
          <w:rFonts w:ascii="仿宋_GB2312" w:eastAsia="仿宋_GB2312" w:hAnsi="宋体" w:cs="宋体" w:hint="eastAsia"/>
          <w:sz w:val="32"/>
          <w:szCs w:val="32"/>
        </w:rPr>
        <w:t>；</w:t>
      </w:r>
    </w:p>
    <w:p w:rsidR="006E1AF3" w:rsidRDefault="006E1AF3" w:rsidP="006E1AF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00F45A36">
        <w:rPr>
          <w:rFonts w:ascii="仿宋_GB2312" w:eastAsia="仿宋_GB2312" w:hAnsi="宋体" w:cs="宋体" w:hint="eastAsia"/>
          <w:sz w:val="32"/>
          <w:szCs w:val="32"/>
        </w:rPr>
        <w:t>）二审法院通过补查或庭审质证对</w:t>
      </w:r>
      <w:r w:rsidR="00E80444">
        <w:rPr>
          <w:rFonts w:ascii="仿宋_GB2312" w:eastAsia="仿宋_GB2312" w:hAnsi="宋体" w:cs="宋体" w:hint="eastAsia"/>
          <w:sz w:val="32"/>
          <w:szCs w:val="32"/>
        </w:rPr>
        <w:t>原审判决认定的事实、</w:t>
      </w:r>
      <w:r w:rsidR="00296EE6">
        <w:rPr>
          <w:rFonts w:ascii="仿宋_GB2312" w:eastAsia="仿宋_GB2312" w:hAnsi="宋体" w:cs="宋体" w:hint="eastAsia"/>
          <w:sz w:val="32"/>
          <w:szCs w:val="32"/>
        </w:rPr>
        <w:t>证据瑕疵或问</w:t>
      </w:r>
      <w:r w:rsidR="0095348F">
        <w:rPr>
          <w:rFonts w:ascii="仿宋_GB2312" w:eastAsia="仿宋_GB2312" w:hAnsi="宋体" w:cs="宋体" w:hint="eastAsia"/>
          <w:sz w:val="32"/>
          <w:szCs w:val="32"/>
        </w:rPr>
        <w:t>题能够予以解决，不能以事实不清或证据不足为由发回重审</w:t>
      </w:r>
      <w:r w:rsidR="008A1904">
        <w:rPr>
          <w:rFonts w:ascii="仿宋_GB2312" w:eastAsia="仿宋_GB2312" w:hAnsi="宋体" w:cs="宋体" w:hint="eastAsia"/>
          <w:sz w:val="32"/>
          <w:szCs w:val="32"/>
        </w:rPr>
        <w:t>；</w:t>
      </w:r>
    </w:p>
    <w:p w:rsidR="006E1AF3" w:rsidRPr="00F45A36" w:rsidRDefault="006E1AF3" w:rsidP="006E1AF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(三)原审法院已经发现但漏定从</w:t>
      </w:r>
      <w:r w:rsidR="008A1904">
        <w:rPr>
          <w:rFonts w:ascii="仿宋_GB2312" w:eastAsia="仿宋_GB2312" w:hAnsi="宋体" w:cs="宋体" w:hint="eastAsia"/>
          <w:sz w:val="32"/>
          <w:szCs w:val="32"/>
        </w:rPr>
        <w:t>重处罚情节的案件，二审法院不能以事实不清或证据不足为由发回重审；</w:t>
      </w:r>
    </w:p>
    <w:p w:rsidR="00C600FC" w:rsidRDefault="00C600FC" w:rsidP="006E1AF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sidR="00B348DC">
        <w:rPr>
          <w:rFonts w:ascii="仿宋_GB2312" w:eastAsia="仿宋_GB2312" w:hAnsi="宋体" w:cs="宋体" w:hint="eastAsia"/>
          <w:sz w:val="32"/>
          <w:szCs w:val="32"/>
        </w:rPr>
        <w:t>二审法院发现原审错误认定法定从轻或减轻情形</w:t>
      </w:r>
      <w:r>
        <w:rPr>
          <w:rFonts w:ascii="仿宋_GB2312" w:eastAsia="仿宋_GB2312" w:hAnsi="宋体" w:cs="宋体" w:hint="eastAsia"/>
          <w:sz w:val="32"/>
          <w:szCs w:val="32"/>
        </w:rPr>
        <w:t>，并对被告人予以从轻或减轻处</w:t>
      </w:r>
      <w:r w:rsidR="00296EE6">
        <w:rPr>
          <w:rFonts w:ascii="仿宋_GB2312" w:eastAsia="仿宋_GB2312" w:hAnsi="宋体" w:cs="宋体" w:hint="eastAsia"/>
          <w:sz w:val="32"/>
          <w:szCs w:val="32"/>
        </w:rPr>
        <w:t>罚的，二审法</w:t>
      </w:r>
      <w:r w:rsidR="0095348F">
        <w:rPr>
          <w:rFonts w:ascii="仿宋_GB2312" w:eastAsia="仿宋_GB2312" w:hAnsi="宋体" w:cs="宋体" w:hint="eastAsia"/>
          <w:sz w:val="32"/>
          <w:szCs w:val="32"/>
        </w:rPr>
        <w:t>院不得以事实不清、证据不足或</w:t>
      </w:r>
      <w:r w:rsidR="008F26F6">
        <w:rPr>
          <w:rFonts w:ascii="仿宋_GB2312" w:eastAsia="仿宋_GB2312" w:hAnsi="宋体" w:cs="宋体" w:hint="eastAsia"/>
          <w:sz w:val="32"/>
          <w:szCs w:val="32"/>
        </w:rPr>
        <w:t>者</w:t>
      </w:r>
      <w:r w:rsidR="0095348F">
        <w:rPr>
          <w:rFonts w:ascii="仿宋_GB2312" w:eastAsia="仿宋_GB2312" w:hAnsi="宋体" w:cs="宋体" w:hint="eastAsia"/>
          <w:sz w:val="32"/>
          <w:szCs w:val="32"/>
        </w:rPr>
        <w:t>适用法律错误为由发回重审</w:t>
      </w:r>
      <w:r>
        <w:rPr>
          <w:rFonts w:ascii="仿宋_GB2312" w:eastAsia="仿宋_GB2312" w:hAnsi="宋体" w:cs="宋体" w:hint="eastAsia"/>
          <w:sz w:val="32"/>
          <w:szCs w:val="32"/>
        </w:rPr>
        <w:t>。</w:t>
      </w:r>
    </w:p>
    <w:p w:rsidR="00626BEE" w:rsidRDefault="00626BEE" w:rsidP="00626BEE">
      <w:pPr>
        <w:ind w:firstLineChars="200" w:firstLine="643"/>
        <w:jc w:val="center"/>
        <w:rPr>
          <w:rFonts w:ascii="仿宋_GB2312" w:eastAsia="仿宋_GB2312" w:hAnsi="宋体" w:cs="宋体"/>
          <w:b/>
          <w:sz w:val="32"/>
          <w:szCs w:val="32"/>
        </w:rPr>
      </w:pPr>
      <w:r w:rsidRPr="004B66BC">
        <w:rPr>
          <w:rFonts w:ascii="仿宋_GB2312" w:eastAsia="仿宋_GB2312" w:hAnsi="宋体" w:cs="宋体" w:hint="eastAsia"/>
          <w:b/>
          <w:sz w:val="32"/>
          <w:szCs w:val="32"/>
        </w:rPr>
        <w:t>第四章行政案件裁判</w:t>
      </w:r>
    </w:p>
    <w:p w:rsidR="002302D8" w:rsidRDefault="00057C50" w:rsidP="002302D8">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w:t>
      </w:r>
      <w:r w:rsidR="00E9067D">
        <w:rPr>
          <w:rFonts w:ascii="仿宋_GB2312" w:eastAsia="仿宋_GB2312" w:hAnsi="宋体" w:cs="宋体" w:hint="eastAsia"/>
          <w:b/>
          <w:sz w:val="32"/>
          <w:szCs w:val="32"/>
        </w:rPr>
        <w:t>十八</w:t>
      </w:r>
      <w:r w:rsidR="002302D8" w:rsidRPr="002302D8">
        <w:rPr>
          <w:rFonts w:ascii="仿宋_GB2312" w:eastAsia="仿宋_GB2312" w:hAnsi="宋体" w:cs="宋体" w:hint="eastAsia"/>
          <w:b/>
          <w:sz w:val="32"/>
          <w:szCs w:val="32"/>
        </w:rPr>
        <w:t>条</w:t>
      </w:r>
      <w:r w:rsidR="00E9067D">
        <w:rPr>
          <w:rFonts w:ascii="仿宋_GB2312" w:eastAsia="仿宋_GB2312" w:hAnsi="宋体" w:cs="宋体" w:hint="eastAsia"/>
          <w:b/>
          <w:sz w:val="32"/>
          <w:szCs w:val="32"/>
        </w:rPr>
        <w:t xml:space="preserve"> </w:t>
      </w:r>
      <w:r w:rsidR="002E7C26">
        <w:rPr>
          <w:rFonts w:ascii="仿宋_GB2312" w:eastAsia="仿宋_GB2312" w:hAnsi="宋体" w:cs="宋体" w:hint="eastAsia"/>
          <w:sz w:val="32"/>
          <w:szCs w:val="32"/>
        </w:rPr>
        <w:t>二审法院经审理发现一审裁判有下列违反法律规定的情形之一的，应当裁定撤销原判，发回重审：</w:t>
      </w:r>
    </w:p>
    <w:p w:rsidR="002E7C26" w:rsidRPr="002E7C26" w:rsidRDefault="002E7C26" w:rsidP="002E7C26">
      <w:pPr>
        <w:pStyle w:val="a6"/>
        <w:numPr>
          <w:ilvl w:val="0"/>
          <w:numId w:val="3"/>
        </w:numPr>
        <w:ind w:firstLineChars="0"/>
        <w:rPr>
          <w:rFonts w:ascii="仿宋_GB2312" w:eastAsia="仿宋_GB2312" w:hAnsi="宋体" w:cs="宋体"/>
          <w:sz w:val="32"/>
          <w:szCs w:val="32"/>
        </w:rPr>
      </w:pPr>
      <w:r w:rsidRPr="002E7C26">
        <w:rPr>
          <w:rFonts w:ascii="仿宋_GB2312" w:eastAsia="仿宋_GB2312" w:hAnsi="宋体" w:cs="宋体" w:hint="eastAsia"/>
          <w:sz w:val="32"/>
          <w:szCs w:val="32"/>
        </w:rPr>
        <w:t>遗漏了必须参加诉讼的当事人的；</w:t>
      </w:r>
    </w:p>
    <w:p w:rsidR="002E7C26" w:rsidRDefault="002E7C26" w:rsidP="002E7C26">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Pr="002E7C26">
        <w:rPr>
          <w:rFonts w:ascii="仿宋_GB2312" w:eastAsia="仿宋_GB2312" w:hAnsi="宋体" w:cs="宋体" w:hint="eastAsia"/>
          <w:sz w:val="32"/>
          <w:szCs w:val="32"/>
        </w:rPr>
        <w:t>遗漏诉讼请求的，包括遗漏行政赔偿请求，且调解不成的；</w:t>
      </w:r>
    </w:p>
    <w:p w:rsidR="002E7C26" w:rsidRDefault="002E7C26" w:rsidP="002E7C26">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(三)未经合法传唤缺席判决的；</w:t>
      </w:r>
    </w:p>
    <w:p w:rsidR="002E7C26" w:rsidRDefault="002E7C26" w:rsidP="002E7C26">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(四)审判组织的组成不合法的；</w:t>
      </w:r>
    </w:p>
    <w:p w:rsidR="002E7C26" w:rsidRDefault="002E7C26" w:rsidP="002E7C26">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(五)应当回避的审判人员未回避的；</w:t>
      </w:r>
    </w:p>
    <w:p w:rsidR="002E7C26" w:rsidRDefault="00095208" w:rsidP="002E7C26">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(六)无诉讼行为能力人未经法定代理人代为诉讼的；</w:t>
      </w:r>
    </w:p>
    <w:p w:rsidR="00095208" w:rsidRPr="00095208" w:rsidRDefault="00095208" w:rsidP="002E7C26">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(七)违法剥夺当事人辩论权利的。</w:t>
      </w:r>
    </w:p>
    <w:p w:rsidR="002302D8" w:rsidRPr="002302D8" w:rsidRDefault="00057C50" w:rsidP="002302D8">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w:t>
      </w:r>
      <w:r w:rsidR="00E9067D">
        <w:rPr>
          <w:rFonts w:ascii="仿宋_GB2312" w:eastAsia="仿宋_GB2312" w:hAnsi="宋体" w:cs="宋体" w:hint="eastAsia"/>
          <w:b/>
          <w:sz w:val="32"/>
          <w:szCs w:val="32"/>
        </w:rPr>
        <w:t>十九</w:t>
      </w:r>
      <w:r w:rsidR="002302D8" w:rsidRPr="002302D8">
        <w:rPr>
          <w:rFonts w:ascii="仿宋_GB2312" w:eastAsia="仿宋_GB2312" w:hAnsi="宋体" w:cs="宋体" w:hint="eastAsia"/>
          <w:b/>
          <w:sz w:val="32"/>
          <w:szCs w:val="32"/>
        </w:rPr>
        <w:t>条</w:t>
      </w:r>
      <w:r w:rsidR="00E9067D">
        <w:rPr>
          <w:rFonts w:ascii="仿宋_GB2312" w:eastAsia="仿宋_GB2312" w:hAnsi="宋体" w:cs="宋体" w:hint="eastAsia"/>
          <w:b/>
          <w:sz w:val="32"/>
          <w:szCs w:val="32"/>
        </w:rPr>
        <w:t xml:space="preserve"> </w:t>
      </w:r>
      <w:r w:rsidR="00B55BA7">
        <w:rPr>
          <w:rFonts w:ascii="仿宋_GB2312" w:eastAsia="仿宋_GB2312" w:hAnsi="宋体" w:cs="宋体" w:hint="eastAsia"/>
          <w:sz w:val="32"/>
          <w:szCs w:val="32"/>
        </w:rPr>
        <w:t>原审判决遗漏诉讼请求的，二审</w:t>
      </w:r>
      <w:r w:rsidR="002302D8" w:rsidRPr="002302D8">
        <w:rPr>
          <w:rFonts w:ascii="仿宋_GB2312" w:eastAsia="仿宋_GB2312" w:hAnsi="宋体" w:cs="宋体" w:hint="eastAsia"/>
          <w:sz w:val="32"/>
          <w:szCs w:val="32"/>
        </w:rPr>
        <w:t>法院应当裁定撤销原审判决，发回重审。</w:t>
      </w:r>
    </w:p>
    <w:p w:rsidR="002302D8" w:rsidRPr="002302D8" w:rsidRDefault="00B55BA7" w:rsidP="002302D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原审判决遗漏行政赔偿请求，二审</w:t>
      </w:r>
      <w:r w:rsidR="002302D8" w:rsidRPr="002302D8">
        <w:rPr>
          <w:rFonts w:ascii="仿宋_GB2312" w:eastAsia="仿宋_GB2312" w:hAnsi="宋体" w:cs="宋体" w:hint="eastAsia"/>
          <w:sz w:val="32"/>
          <w:szCs w:val="32"/>
        </w:rPr>
        <w:t>法院经审理认为依法应当予以赔偿的，在确认被诉行政行为违法的同时，可以就行政赔偿问题进行调解；调解不成的，应当就行政赔偿部分发回重审。</w:t>
      </w:r>
    </w:p>
    <w:p w:rsidR="002302D8" w:rsidRPr="002302D8" w:rsidRDefault="00366879" w:rsidP="002302D8">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w:t>
      </w:r>
      <w:r w:rsidR="002302D8" w:rsidRPr="002302D8">
        <w:rPr>
          <w:rFonts w:ascii="仿宋_GB2312" w:eastAsia="仿宋_GB2312" w:hAnsi="宋体" w:cs="宋体" w:hint="eastAsia"/>
          <w:b/>
          <w:sz w:val="32"/>
          <w:szCs w:val="32"/>
        </w:rPr>
        <w:t>条</w:t>
      </w:r>
      <w:r w:rsidR="00E9067D">
        <w:rPr>
          <w:rFonts w:ascii="仿宋_GB2312" w:eastAsia="仿宋_GB2312" w:hAnsi="宋体" w:cs="宋体" w:hint="eastAsia"/>
          <w:b/>
          <w:sz w:val="32"/>
          <w:szCs w:val="32"/>
        </w:rPr>
        <w:t xml:space="preserve"> </w:t>
      </w:r>
      <w:r w:rsidR="00230A31">
        <w:rPr>
          <w:rFonts w:ascii="仿宋_GB2312" w:eastAsia="仿宋_GB2312" w:hAnsi="宋体" w:cs="宋体" w:hint="eastAsia"/>
          <w:sz w:val="32"/>
          <w:szCs w:val="32"/>
        </w:rPr>
        <w:t>原审裁判认定事实不清或者证据不足，存在下列</w:t>
      </w:r>
      <w:r w:rsidR="00D04F71">
        <w:rPr>
          <w:rFonts w:ascii="仿宋_GB2312" w:eastAsia="仿宋_GB2312" w:hAnsi="宋体" w:cs="宋体" w:hint="eastAsia"/>
          <w:sz w:val="32"/>
          <w:szCs w:val="32"/>
        </w:rPr>
        <w:t>情形</w:t>
      </w:r>
      <w:r w:rsidR="002302D8" w:rsidRPr="002302D8">
        <w:rPr>
          <w:rFonts w:ascii="仿宋_GB2312" w:eastAsia="仿宋_GB2312" w:hAnsi="宋体" w:cs="宋体" w:hint="eastAsia"/>
          <w:sz w:val="32"/>
          <w:szCs w:val="32"/>
        </w:rPr>
        <w:t>之一的，可以裁定撤销原判，发回重审：</w:t>
      </w:r>
    </w:p>
    <w:p w:rsidR="002302D8" w:rsidRPr="002302D8" w:rsidRDefault="00D04F71" w:rsidP="002302D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2302D8" w:rsidRPr="002302D8">
        <w:rPr>
          <w:rFonts w:ascii="仿宋_GB2312" w:eastAsia="仿宋_GB2312" w:hAnsi="宋体" w:cs="宋体" w:hint="eastAsia"/>
          <w:sz w:val="32"/>
          <w:szCs w:val="32"/>
        </w:rPr>
        <w:t>原审判决认定的案件事实无相应证据证明，当事人对案件事实不予认可的;</w:t>
      </w:r>
    </w:p>
    <w:p w:rsidR="002302D8" w:rsidRPr="002302D8" w:rsidRDefault="00D04F71" w:rsidP="00D04F71">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002302D8" w:rsidRPr="002302D8">
        <w:rPr>
          <w:rFonts w:ascii="仿宋_GB2312" w:eastAsia="仿宋_GB2312" w:hAnsi="宋体" w:cs="宋体" w:hint="eastAsia"/>
          <w:sz w:val="32"/>
          <w:szCs w:val="32"/>
        </w:rPr>
        <w:t>案件事实不清，需要</w:t>
      </w:r>
      <w:r>
        <w:rPr>
          <w:rFonts w:ascii="仿宋_GB2312" w:eastAsia="仿宋_GB2312" w:hAnsi="宋体" w:cs="宋体" w:hint="eastAsia"/>
          <w:sz w:val="32"/>
          <w:szCs w:val="32"/>
        </w:rPr>
        <w:t>进行</w:t>
      </w:r>
      <w:r w:rsidR="002302D8" w:rsidRPr="002302D8">
        <w:rPr>
          <w:rFonts w:ascii="仿宋_GB2312" w:eastAsia="仿宋_GB2312" w:hAnsi="宋体" w:cs="宋体" w:hint="eastAsia"/>
          <w:sz w:val="32"/>
          <w:szCs w:val="32"/>
        </w:rPr>
        <w:t>鉴定</w:t>
      </w:r>
      <w:r w:rsidR="0083559B">
        <w:rPr>
          <w:rFonts w:ascii="仿宋_GB2312" w:eastAsia="仿宋_GB2312" w:hAnsi="宋体" w:cs="宋体" w:hint="eastAsia"/>
          <w:sz w:val="32"/>
          <w:szCs w:val="32"/>
        </w:rPr>
        <w:t>、补充鉴定</w:t>
      </w:r>
      <w:r w:rsidR="002302D8" w:rsidRPr="002302D8">
        <w:rPr>
          <w:rFonts w:ascii="仿宋_GB2312" w:eastAsia="仿宋_GB2312" w:hAnsi="宋体" w:cs="宋体" w:hint="eastAsia"/>
          <w:sz w:val="32"/>
          <w:szCs w:val="32"/>
        </w:rPr>
        <w:t>或</w:t>
      </w:r>
      <w:r w:rsidR="0083559B">
        <w:rPr>
          <w:rFonts w:ascii="仿宋_GB2312" w:eastAsia="仿宋_GB2312" w:hAnsi="宋体" w:cs="宋体" w:hint="eastAsia"/>
          <w:sz w:val="32"/>
          <w:szCs w:val="32"/>
        </w:rPr>
        <w:t>者</w:t>
      </w:r>
      <w:r w:rsidR="002302D8" w:rsidRPr="002302D8">
        <w:rPr>
          <w:rFonts w:ascii="仿宋_GB2312" w:eastAsia="仿宋_GB2312" w:hAnsi="宋体" w:cs="宋体" w:hint="eastAsia"/>
          <w:sz w:val="32"/>
          <w:szCs w:val="32"/>
        </w:rPr>
        <w:t>重新鉴定的;</w:t>
      </w:r>
    </w:p>
    <w:p w:rsidR="002302D8" w:rsidRPr="002302D8" w:rsidRDefault="00D04F71" w:rsidP="00D04F71">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002302D8" w:rsidRPr="002302D8">
        <w:rPr>
          <w:rFonts w:ascii="仿宋_GB2312" w:eastAsia="仿宋_GB2312" w:hAnsi="宋体" w:cs="宋体" w:hint="eastAsia"/>
          <w:sz w:val="32"/>
          <w:szCs w:val="32"/>
        </w:rPr>
        <w:t>定案的主要证据未经庭审质证，当事人提出异议且二审</w:t>
      </w:r>
      <w:r>
        <w:rPr>
          <w:rFonts w:ascii="仿宋_GB2312" w:eastAsia="仿宋_GB2312" w:hAnsi="宋体" w:cs="宋体" w:hint="eastAsia"/>
          <w:sz w:val="32"/>
          <w:szCs w:val="32"/>
        </w:rPr>
        <w:t>法院</w:t>
      </w:r>
      <w:r w:rsidR="002302D8" w:rsidRPr="002302D8">
        <w:rPr>
          <w:rFonts w:ascii="仿宋_GB2312" w:eastAsia="仿宋_GB2312" w:hAnsi="宋体" w:cs="宋体" w:hint="eastAsia"/>
          <w:sz w:val="32"/>
          <w:szCs w:val="32"/>
        </w:rPr>
        <w:t>无法弥补的。</w:t>
      </w:r>
    </w:p>
    <w:p w:rsidR="002302D8" w:rsidRPr="002302D8" w:rsidRDefault="00CA4B38" w:rsidP="002302D8">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w:t>
      </w:r>
      <w:r w:rsidR="00A36406">
        <w:rPr>
          <w:rFonts w:ascii="仿宋_GB2312" w:eastAsia="仿宋_GB2312" w:hAnsi="宋体" w:cs="宋体" w:hint="eastAsia"/>
          <w:b/>
          <w:sz w:val="32"/>
          <w:szCs w:val="32"/>
        </w:rPr>
        <w:t>一</w:t>
      </w:r>
      <w:r w:rsidR="002302D8" w:rsidRPr="002302D8">
        <w:rPr>
          <w:rFonts w:ascii="仿宋_GB2312" w:eastAsia="仿宋_GB2312" w:hAnsi="宋体" w:cs="宋体" w:hint="eastAsia"/>
          <w:b/>
          <w:sz w:val="32"/>
          <w:szCs w:val="32"/>
        </w:rPr>
        <w:t>条</w:t>
      </w:r>
      <w:r w:rsidR="002302D8" w:rsidRPr="002302D8">
        <w:rPr>
          <w:rFonts w:ascii="仿宋_GB2312" w:eastAsia="仿宋_GB2312" w:hAnsi="宋体" w:cs="宋体" w:hint="eastAsia"/>
          <w:sz w:val="32"/>
          <w:szCs w:val="32"/>
        </w:rPr>
        <w:t xml:space="preserve"> 下列情形不得发回重审：</w:t>
      </w:r>
    </w:p>
    <w:p w:rsidR="002302D8" w:rsidRPr="002302D8" w:rsidRDefault="00B55BA7" w:rsidP="002302D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（一）原审判决认定事实不清、证据不足，二审</w:t>
      </w:r>
      <w:r w:rsidR="002302D8" w:rsidRPr="002302D8">
        <w:rPr>
          <w:rFonts w:ascii="仿宋_GB2312" w:eastAsia="仿宋_GB2312" w:hAnsi="宋体" w:cs="宋体" w:hint="eastAsia"/>
          <w:sz w:val="32"/>
          <w:szCs w:val="32"/>
        </w:rPr>
        <w:t>法院通过庭审质证或调查能够查清事实的，不能以事实不清、证据不足为由发回重审;</w:t>
      </w:r>
    </w:p>
    <w:p w:rsidR="002302D8" w:rsidRPr="002302D8" w:rsidRDefault="00230A31" w:rsidP="002302D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（二）一审程序中</w:t>
      </w:r>
      <w:r w:rsidR="002302D8" w:rsidRPr="002302D8">
        <w:rPr>
          <w:rFonts w:ascii="仿宋_GB2312" w:eastAsia="仿宋_GB2312" w:hAnsi="宋体" w:cs="宋体" w:hint="eastAsia"/>
          <w:sz w:val="32"/>
          <w:szCs w:val="32"/>
        </w:rPr>
        <w:t>当事人已充分举证质证，一审法院因采信证据不当</w:t>
      </w:r>
      <w:r>
        <w:rPr>
          <w:rFonts w:ascii="仿宋_GB2312" w:eastAsia="仿宋_GB2312" w:hAnsi="宋体" w:cs="宋体" w:hint="eastAsia"/>
          <w:sz w:val="32"/>
          <w:szCs w:val="32"/>
        </w:rPr>
        <w:t>导致</w:t>
      </w:r>
      <w:r w:rsidR="002302D8" w:rsidRPr="002302D8">
        <w:rPr>
          <w:rFonts w:ascii="仿宋_GB2312" w:eastAsia="仿宋_GB2312" w:hAnsi="宋体" w:cs="宋体" w:hint="eastAsia"/>
          <w:sz w:val="32"/>
          <w:szCs w:val="32"/>
        </w:rPr>
        <w:t>认定事实错误，二审法院应当依法改判、</w:t>
      </w:r>
      <w:r w:rsidR="002302D8" w:rsidRPr="002302D8">
        <w:rPr>
          <w:rFonts w:ascii="仿宋_GB2312" w:eastAsia="仿宋_GB2312" w:hAnsi="宋体" w:cs="宋体" w:hint="eastAsia"/>
          <w:sz w:val="32"/>
          <w:szCs w:val="32"/>
        </w:rPr>
        <w:lastRenderedPageBreak/>
        <w:t>撤销或者变更，不得发回重审;</w:t>
      </w:r>
    </w:p>
    <w:p w:rsidR="002302D8" w:rsidRPr="002302D8" w:rsidRDefault="002302D8" w:rsidP="002302D8">
      <w:pPr>
        <w:ind w:firstLineChars="200" w:firstLine="640"/>
        <w:rPr>
          <w:rFonts w:ascii="仿宋_GB2312" w:eastAsia="仿宋_GB2312" w:hAnsi="宋体" w:cs="宋体"/>
          <w:sz w:val="32"/>
          <w:szCs w:val="32"/>
        </w:rPr>
      </w:pPr>
      <w:r w:rsidRPr="002302D8">
        <w:rPr>
          <w:rFonts w:ascii="仿宋_GB2312" w:eastAsia="仿宋_GB2312" w:hAnsi="宋体" w:cs="宋体" w:hint="eastAsia"/>
          <w:sz w:val="32"/>
          <w:szCs w:val="32"/>
        </w:rPr>
        <w:t>（三）原审裁判理由不当的，二审法院应当径行予以纠正，不得以此为由发回重审。</w:t>
      </w:r>
    </w:p>
    <w:p w:rsidR="00626BEE" w:rsidRPr="00067557" w:rsidRDefault="00626BEE" w:rsidP="00626BEE">
      <w:pPr>
        <w:ind w:firstLineChars="900" w:firstLine="2891"/>
        <w:rPr>
          <w:rFonts w:ascii="仿宋_GB2312" w:eastAsia="仿宋_GB2312" w:hAnsi="宋体" w:cs="宋体"/>
          <w:b/>
          <w:sz w:val="32"/>
          <w:szCs w:val="32"/>
        </w:rPr>
      </w:pPr>
      <w:r w:rsidRPr="00067557">
        <w:rPr>
          <w:rFonts w:ascii="仿宋_GB2312" w:eastAsia="仿宋_GB2312" w:hAnsi="宋体" w:cs="宋体" w:hint="eastAsia"/>
          <w:b/>
          <w:sz w:val="32"/>
          <w:szCs w:val="32"/>
        </w:rPr>
        <w:t>第五章  附则</w:t>
      </w:r>
    </w:p>
    <w:p w:rsidR="00CC7CAD" w:rsidRDefault="00057C50" w:rsidP="00CC7CAD">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w:t>
      </w:r>
      <w:r w:rsidR="00A36406">
        <w:rPr>
          <w:rFonts w:ascii="仿宋_GB2312" w:eastAsia="仿宋_GB2312" w:hAnsi="宋体" w:cs="宋体" w:hint="eastAsia"/>
          <w:b/>
          <w:sz w:val="32"/>
          <w:szCs w:val="32"/>
        </w:rPr>
        <w:t>二</w:t>
      </w:r>
      <w:r w:rsidR="00CC7CAD">
        <w:rPr>
          <w:rFonts w:ascii="仿宋_GB2312" w:eastAsia="仿宋_GB2312" w:hAnsi="宋体" w:cs="宋体" w:hint="eastAsia"/>
          <w:b/>
          <w:sz w:val="32"/>
          <w:szCs w:val="32"/>
        </w:rPr>
        <w:t>条</w:t>
      </w:r>
      <w:r w:rsidR="00CC7CAD">
        <w:rPr>
          <w:rFonts w:ascii="仿宋_GB2312" w:eastAsia="仿宋_GB2312" w:hAnsi="宋体" w:cs="宋体" w:hint="eastAsia"/>
          <w:sz w:val="32"/>
          <w:szCs w:val="32"/>
        </w:rPr>
        <w:t xml:space="preserve"> 本规定由</w:t>
      </w:r>
      <w:r w:rsidR="00903D20">
        <w:rPr>
          <w:rFonts w:ascii="仿宋_GB2312" w:eastAsia="仿宋_GB2312" w:hAnsi="宋体" w:cs="宋体" w:hint="eastAsia"/>
          <w:sz w:val="32"/>
          <w:szCs w:val="32"/>
        </w:rPr>
        <w:t>长春市中级人民法院</w:t>
      </w:r>
      <w:r w:rsidR="00427C91">
        <w:rPr>
          <w:rFonts w:ascii="仿宋_GB2312" w:eastAsia="仿宋_GB2312" w:hAnsi="宋体" w:cs="宋体" w:hint="eastAsia"/>
          <w:sz w:val="32"/>
          <w:szCs w:val="32"/>
        </w:rPr>
        <w:t>审判委员会</w:t>
      </w:r>
      <w:r w:rsidR="00CC7CAD">
        <w:rPr>
          <w:rFonts w:ascii="仿宋_GB2312" w:eastAsia="仿宋_GB2312" w:hAnsi="宋体" w:cs="宋体" w:hint="eastAsia"/>
          <w:sz w:val="32"/>
          <w:szCs w:val="32"/>
        </w:rPr>
        <w:t>负责解释。</w:t>
      </w:r>
    </w:p>
    <w:p w:rsidR="00FE4B52" w:rsidRDefault="00057C50" w:rsidP="00CC7CAD">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第二十</w:t>
      </w:r>
      <w:r w:rsidR="00A36406">
        <w:rPr>
          <w:rFonts w:ascii="仿宋_GB2312" w:eastAsia="仿宋_GB2312" w:hAnsi="宋体" w:cs="宋体" w:hint="eastAsia"/>
          <w:b/>
          <w:sz w:val="32"/>
          <w:szCs w:val="32"/>
        </w:rPr>
        <w:t>三</w:t>
      </w:r>
      <w:r w:rsidR="00CC7CAD">
        <w:rPr>
          <w:rFonts w:ascii="仿宋_GB2312" w:eastAsia="仿宋_GB2312" w:hAnsi="宋体" w:cs="宋体" w:hint="eastAsia"/>
          <w:b/>
          <w:sz w:val="32"/>
          <w:szCs w:val="32"/>
        </w:rPr>
        <w:t>条</w:t>
      </w:r>
      <w:r w:rsidR="00CC7CAD">
        <w:rPr>
          <w:rFonts w:ascii="仿宋_GB2312" w:eastAsia="仿宋_GB2312" w:hAnsi="宋体" w:cs="宋体" w:hint="eastAsia"/>
          <w:sz w:val="32"/>
          <w:szCs w:val="32"/>
        </w:rPr>
        <w:t xml:space="preserve"> 本规定自公布之日起施行。</w:t>
      </w: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6B6F74" w:rsidRDefault="006B6F74" w:rsidP="006B6F74">
      <w:pPr>
        <w:ind w:firstLineChars="200" w:firstLine="640"/>
        <w:rPr>
          <w:rFonts w:ascii="仿宋_GB2312" w:eastAsia="仿宋_GB2312" w:hAnsi="宋体" w:cs="宋体"/>
          <w:sz w:val="32"/>
          <w:szCs w:val="32"/>
        </w:rPr>
      </w:pPr>
    </w:p>
    <w:p w:rsidR="00A36406" w:rsidRDefault="00A36406" w:rsidP="006B6F74">
      <w:pPr>
        <w:ind w:firstLineChars="200" w:firstLine="640"/>
        <w:rPr>
          <w:rFonts w:ascii="仿宋_GB2312" w:eastAsia="仿宋_GB2312" w:hAnsi="宋体" w:cs="宋体"/>
          <w:sz w:val="32"/>
          <w:szCs w:val="32"/>
        </w:rPr>
      </w:pPr>
    </w:p>
    <w:p w:rsidR="00A36406" w:rsidRDefault="00A36406" w:rsidP="006B6F74">
      <w:pPr>
        <w:ind w:firstLineChars="200" w:firstLine="640"/>
        <w:rPr>
          <w:rFonts w:ascii="仿宋_GB2312" w:eastAsia="仿宋_GB2312" w:hAnsi="宋体" w:cs="宋体"/>
          <w:sz w:val="32"/>
          <w:szCs w:val="32"/>
        </w:rPr>
      </w:pPr>
    </w:p>
    <w:p w:rsidR="00A36406" w:rsidRDefault="00A36406" w:rsidP="006B6F74">
      <w:pPr>
        <w:ind w:firstLineChars="200" w:firstLine="640"/>
        <w:rPr>
          <w:rFonts w:ascii="仿宋_GB2312" w:eastAsia="仿宋_GB2312" w:hAnsi="宋体" w:cs="宋体"/>
          <w:sz w:val="32"/>
          <w:szCs w:val="32"/>
        </w:rPr>
      </w:pPr>
    </w:p>
    <w:p w:rsidR="00890497" w:rsidRPr="00A36406" w:rsidRDefault="00890497" w:rsidP="006B6F74">
      <w:pPr>
        <w:ind w:firstLineChars="200" w:firstLine="640"/>
        <w:rPr>
          <w:rFonts w:ascii="仿宋_GB2312" w:eastAsia="仿宋_GB2312" w:hAnsi="宋体" w:cs="宋体"/>
          <w:sz w:val="32"/>
          <w:szCs w:val="32"/>
        </w:rPr>
      </w:pPr>
    </w:p>
    <w:p w:rsidR="006B6F74" w:rsidRPr="00F43811" w:rsidRDefault="00903D20" w:rsidP="00F43811">
      <w:pPr>
        <w:pBdr>
          <w:top w:val="single" w:sz="6" w:space="1" w:color="auto"/>
          <w:bottom w:val="single" w:sz="6" w:space="1" w:color="auto"/>
        </w:pBdr>
        <w:rPr>
          <w:rFonts w:ascii="仿宋_GB2312" w:eastAsia="仿宋_GB2312" w:hAnsi="宋体" w:cs="宋体"/>
          <w:sz w:val="32"/>
          <w:szCs w:val="32"/>
        </w:rPr>
      </w:pPr>
      <w:r>
        <w:rPr>
          <w:rFonts w:ascii="仿宋_GB2312" w:eastAsia="仿宋_GB2312" w:hAnsi="宋体" w:cs="宋体" w:hint="eastAsia"/>
          <w:sz w:val="32"/>
          <w:szCs w:val="32"/>
        </w:rPr>
        <w:t>长春市中级人民法院</w:t>
      </w:r>
      <w:r w:rsidR="006B6F74">
        <w:rPr>
          <w:rFonts w:ascii="仿宋_GB2312" w:eastAsia="仿宋_GB2312" w:hAnsi="宋体" w:cs="宋体" w:hint="eastAsia"/>
          <w:sz w:val="32"/>
          <w:szCs w:val="32"/>
        </w:rPr>
        <w:t>办公室         2018年</w:t>
      </w:r>
      <w:r w:rsidR="00A36406">
        <w:rPr>
          <w:rFonts w:ascii="仿宋_GB2312" w:eastAsia="仿宋_GB2312" w:hAnsi="宋体" w:cs="宋体" w:hint="eastAsia"/>
          <w:sz w:val="32"/>
          <w:szCs w:val="32"/>
        </w:rPr>
        <w:t>9</w:t>
      </w:r>
      <w:r w:rsidR="006B6F74">
        <w:rPr>
          <w:rFonts w:ascii="仿宋_GB2312" w:eastAsia="仿宋_GB2312" w:hAnsi="宋体" w:cs="宋体" w:hint="eastAsia"/>
          <w:sz w:val="32"/>
          <w:szCs w:val="32"/>
        </w:rPr>
        <w:t>月18日印发</w:t>
      </w:r>
    </w:p>
    <w:sectPr w:rsidR="006B6F74" w:rsidRPr="00F43811" w:rsidSect="000F7E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61" w:rsidRDefault="00301561" w:rsidP="00626BEE">
      <w:r>
        <w:separator/>
      </w:r>
    </w:p>
  </w:endnote>
  <w:endnote w:type="continuationSeparator" w:id="1">
    <w:p w:rsidR="00301561" w:rsidRDefault="00301561" w:rsidP="00626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587998"/>
      <w:docPartObj>
        <w:docPartGallery w:val="Page Numbers (Bottom of Page)"/>
        <w:docPartUnique/>
      </w:docPartObj>
    </w:sdtPr>
    <w:sdtEndPr>
      <w:rPr>
        <w:sz w:val="28"/>
        <w:szCs w:val="28"/>
      </w:rPr>
    </w:sdtEndPr>
    <w:sdtContent>
      <w:p w:rsidR="00626BEE" w:rsidRPr="00626BEE" w:rsidRDefault="00E01CAC">
        <w:pPr>
          <w:pStyle w:val="a4"/>
          <w:jc w:val="center"/>
          <w:rPr>
            <w:sz w:val="28"/>
            <w:szCs w:val="28"/>
          </w:rPr>
        </w:pPr>
        <w:r w:rsidRPr="00626BEE">
          <w:rPr>
            <w:sz w:val="28"/>
            <w:szCs w:val="28"/>
          </w:rPr>
          <w:fldChar w:fldCharType="begin"/>
        </w:r>
        <w:r w:rsidR="00626BEE" w:rsidRPr="00626BEE">
          <w:rPr>
            <w:sz w:val="28"/>
            <w:szCs w:val="28"/>
          </w:rPr>
          <w:instrText>PAGE   \* MERGEFORMAT</w:instrText>
        </w:r>
        <w:r w:rsidRPr="00626BEE">
          <w:rPr>
            <w:sz w:val="28"/>
            <w:szCs w:val="28"/>
          </w:rPr>
          <w:fldChar w:fldCharType="separate"/>
        </w:r>
        <w:r w:rsidR="00904114" w:rsidRPr="00904114">
          <w:rPr>
            <w:noProof/>
            <w:sz w:val="28"/>
            <w:szCs w:val="28"/>
            <w:lang w:val="zh-CN"/>
          </w:rPr>
          <w:t>1</w:t>
        </w:r>
        <w:r w:rsidRPr="00626BEE">
          <w:rPr>
            <w:sz w:val="28"/>
            <w:szCs w:val="28"/>
          </w:rPr>
          <w:fldChar w:fldCharType="end"/>
        </w:r>
      </w:p>
    </w:sdtContent>
  </w:sdt>
  <w:p w:rsidR="00626BEE" w:rsidRDefault="00626B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61" w:rsidRDefault="00301561" w:rsidP="00626BEE">
      <w:r>
        <w:separator/>
      </w:r>
    </w:p>
  </w:footnote>
  <w:footnote w:type="continuationSeparator" w:id="1">
    <w:p w:rsidR="00301561" w:rsidRDefault="00301561" w:rsidP="00626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37E8"/>
    <w:multiLevelType w:val="hybridMultilevel"/>
    <w:tmpl w:val="C1F45E7E"/>
    <w:lvl w:ilvl="0" w:tplc="873A3CE0">
      <w:start w:val="2"/>
      <w:numFmt w:val="japaneseCounting"/>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30FD29BF"/>
    <w:multiLevelType w:val="hybridMultilevel"/>
    <w:tmpl w:val="D062D310"/>
    <w:lvl w:ilvl="0" w:tplc="AB5EBEF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67618C7"/>
    <w:multiLevelType w:val="hybridMultilevel"/>
    <w:tmpl w:val="B3CAFD0A"/>
    <w:lvl w:ilvl="0" w:tplc="431A8A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BEE"/>
    <w:rsid w:val="00005B70"/>
    <w:rsid w:val="00030F41"/>
    <w:rsid w:val="00057C50"/>
    <w:rsid w:val="00062EB4"/>
    <w:rsid w:val="000858D2"/>
    <w:rsid w:val="00095208"/>
    <w:rsid w:val="000A4CFA"/>
    <w:rsid w:val="000C1332"/>
    <w:rsid w:val="000E5966"/>
    <w:rsid w:val="000F6662"/>
    <w:rsid w:val="000F7E25"/>
    <w:rsid w:val="00124672"/>
    <w:rsid w:val="00131EF1"/>
    <w:rsid w:val="00134CA2"/>
    <w:rsid w:val="001456FC"/>
    <w:rsid w:val="001642BA"/>
    <w:rsid w:val="001801D9"/>
    <w:rsid w:val="0019297D"/>
    <w:rsid w:val="00195A76"/>
    <w:rsid w:val="001A717B"/>
    <w:rsid w:val="001A7B38"/>
    <w:rsid w:val="001B73BA"/>
    <w:rsid w:val="001D264F"/>
    <w:rsid w:val="002249BC"/>
    <w:rsid w:val="002302D8"/>
    <w:rsid w:val="00230A31"/>
    <w:rsid w:val="002466A5"/>
    <w:rsid w:val="00263197"/>
    <w:rsid w:val="002710E7"/>
    <w:rsid w:val="00284A4E"/>
    <w:rsid w:val="00296D2F"/>
    <w:rsid w:val="00296EE6"/>
    <w:rsid w:val="002A7BCC"/>
    <w:rsid w:val="002C0DF8"/>
    <w:rsid w:val="002C4CCA"/>
    <w:rsid w:val="002D389B"/>
    <w:rsid w:val="002E565A"/>
    <w:rsid w:val="002E7C26"/>
    <w:rsid w:val="002F1C7D"/>
    <w:rsid w:val="002F6B64"/>
    <w:rsid w:val="002F7AE2"/>
    <w:rsid w:val="00301561"/>
    <w:rsid w:val="00343E36"/>
    <w:rsid w:val="003468EE"/>
    <w:rsid w:val="0035135A"/>
    <w:rsid w:val="00351F13"/>
    <w:rsid w:val="003523B5"/>
    <w:rsid w:val="00366879"/>
    <w:rsid w:val="003741B2"/>
    <w:rsid w:val="003850E4"/>
    <w:rsid w:val="003A2F57"/>
    <w:rsid w:val="003C6186"/>
    <w:rsid w:val="003E49A4"/>
    <w:rsid w:val="004113D9"/>
    <w:rsid w:val="004153AB"/>
    <w:rsid w:val="00427C91"/>
    <w:rsid w:val="00430AFB"/>
    <w:rsid w:val="004311B5"/>
    <w:rsid w:val="00446DEA"/>
    <w:rsid w:val="00450A7B"/>
    <w:rsid w:val="0045303E"/>
    <w:rsid w:val="00463861"/>
    <w:rsid w:val="004A2288"/>
    <w:rsid w:val="004D356F"/>
    <w:rsid w:val="004E72BF"/>
    <w:rsid w:val="00504B25"/>
    <w:rsid w:val="00513AE6"/>
    <w:rsid w:val="00514B83"/>
    <w:rsid w:val="00544E01"/>
    <w:rsid w:val="00556DDA"/>
    <w:rsid w:val="005604DC"/>
    <w:rsid w:val="005816F2"/>
    <w:rsid w:val="00585CE6"/>
    <w:rsid w:val="005A62A1"/>
    <w:rsid w:val="005B2716"/>
    <w:rsid w:val="005B5813"/>
    <w:rsid w:val="005E1F46"/>
    <w:rsid w:val="005F3645"/>
    <w:rsid w:val="00616244"/>
    <w:rsid w:val="00626BEE"/>
    <w:rsid w:val="00636C9B"/>
    <w:rsid w:val="00650BB8"/>
    <w:rsid w:val="00666154"/>
    <w:rsid w:val="00672B78"/>
    <w:rsid w:val="006937D1"/>
    <w:rsid w:val="006A4978"/>
    <w:rsid w:val="006B44E5"/>
    <w:rsid w:val="006B6F74"/>
    <w:rsid w:val="006C2187"/>
    <w:rsid w:val="006D6698"/>
    <w:rsid w:val="006E1AF3"/>
    <w:rsid w:val="006E448C"/>
    <w:rsid w:val="00712EE6"/>
    <w:rsid w:val="007254C8"/>
    <w:rsid w:val="00732350"/>
    <w:rsid w:val="00734F23"/>
    <w:rsid w:val="00740399"/>
    <w:rsid w:val="00763270"/>
    <w:rsid w:val="00766B04"/>
    <w:rsid w:val="007809D0"/>
    <w:rsid w:val="00790672"/>
    <w:rsid w:val="00795D19"/>
    <w:rsid w:val="007A20EE"/>
    <w:rsid w:val="007B1470"/>
    <w:rsid w:val="007B2912"/>
    <w:rsid w:val="007B57D1"/>
    <w:rsid w:val="007C0D0B"/>
    <w:rsid w:val="007E77CE"/>
    <w:rsid w:val="00814685"/>
    <w:rsid w:val="00816460"/>
    <w:rsid w:val="0083559B"/>
    <w:rsid w:val="00841399"/>
    <w:rsid w:val="0087576F"/>
    <w:rsid w:val="00884C18"/>
    <w:rsid w:val="00890497"/>
    <w:rsid w:val="00896B09"/>
    <w:rsid w:val="008A1904"/>
    <w:rsid w:val="008A5B3D"/>
    <w:rsid w:val="008B3685"/>
    <w:rsid w:val="008C3CDB"/>
    <w:rsid w:val="008D7CE7"/>
    <w:rsid w:val="008F26F6"/>
    <w:rsid w:val="00903D20"/>
    <w:rsid w:val="00904114"/>
    <w:rsid w:val="0092408C"/>
    <w:rsid w:val="00951624"/>
    <w:rsid w:val="0095348F"/>
    <w:rsid w:val="00953C32"/>
    <w:rsid w:val="009658AB"/>
    <w:rsid w:val="009C7E82"/>
    <w:rsid w:val="009E72FA"/>
    <w:rsid w:val="009F06CE"/>
    <w:rsid w:val="009F4526"/>
    <w:rsid w:val="00A10433"/>
    <w:rsid w:val="00A1154B"/>
    <w:rsid w:val="00A14EFD"/>
    <w:rsid w:val="00A30FF0"/>
    <w:rsid w:val="00A36406"/>
    <w:rsid w:val="00A40528"/>
    <w:rsid w:val="00A83166"/>
    <w:rsid w:val="00A84E8B"/>
    <w:rsid w:val="00A879EA"/>
    <w:rsid w:val="00AF0DDE"/>
    <w:rsid w:val="00B03FDB"/>
    <w:rsid w:val="00B0731A"/>
    <w:rsid w:val="00B21DF2"/>
    <w:rsid w:val="00B248FF"/>
    <w:rsid w:val="00B348DC"/>
    <w:rsid w:val="00B40D3F"/>
    <w:rsid w:val="00B45AEC"/>
    <w:rsid w:val="00B46458"/>
    <w:rsid w:val="00B46CC0"/>
    <w:rsid w:val="00B55BA7"/>
    <w:rsid w:val="00B9130A"/>
    <w:rsid w:val="00BA2237"/>
    <w:rsid w:val="00BA3507"/>
    <w:rsid w:val="00BA6BC5"/>
    <w:rsid w:val="00BB0DC3"/>
    <w:rsid w:val="00BB7C4F"/>
    <w:rsid w:val="00C16579"/>
    <w:rsid w:val="00C53B70"/>
    <w:rsid w:val="00C600FC"/>
    <w:rsid w:val="00C658BA"/>
    <w:rsid w:val="00C66B51"/>
    <w:rsid w:val="00C80500"/>
    <w:rsid w:val="00C86AD5"/>
    <w:rsid w:val="00C93AB5"/>
    <w:rsid w:val="00CA4B38"/>
    <w:rsid w:val="00CA6DCD"/>
    <w:rsid w:val="00CC7CAD"/>
    <w:rsid w:val="00CD2D61"/>
    <w:rsid w:val="00CD31D0"/>
    <w:rsid w:val="00CD6B8F"/>
    <w:rsid w:val="00CE73B4"/>
    <w:rsid w:val="00D04F71"/>
    <w:rsid w:val="00D30F40"/>
    <w:rsid w:val="00D33385"/>
    <w:rsid w:val="00D33D36"/>
    <w:rsid w:val="00D53241"/>
    <w:rsid w:val="00D56FAD"/>
    <w:rsid w:val="00D63ACA"/>
    <w:rsid w:val="00D9735F"/>
    <w:rsid w:val="00DE4B14"/>
    <w:rsid w:val="00E01CAC"/>
    <w:rsid w:val="00E34DE7"/>
    <w:rsid w:val="00E45434"/>
    <w:rsid w:val="00E6136C"/>
    <w:rsid w:val="00E61C9D"/>
    <w:rsid w:val="00E76E2D"/>
    <w:rsid w:val="00E80444"/>
    <w:rsid w:val="00E80C99"/>
    <w:rsid w:val="00E9067D"/>
    <w:rsid w:val="00EA06D5"/>
    <w:rsid w:val="00EA0703"/>
    <w:rsid w:val="00EF28D8"/>
    <w:rsid w:val="00EF3A58"/>
    <w:rsid w:val="00F101E2"/>
    <w:rsid w:val="00F23C96"/>
    <w:rsid w:val="00F31E89"/>
    <w:rsid w:val="00F376B8"/>
    <w:rsid w:val="00F43811"/>
    <w:rsid w:val="00F45A36"/>
    <w:rsid w:val="00F70FFE"/>
    <w:rsid w:val="00F73CCF"/>
    <w:rsid w:val="00FA54C3"/>
    <w:rsid w:val="00FE5D96"/>
    <w:rsid w:val="00FF0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EE"/>
    <w:rPr>
      <w:sz w:val="18"/>
      <w:szCs w:val="18"/>
    </w:rPr>
  </w:style>
  <w:style w:type="paragraph" w:styleId="a4">
    <w:name w:val="footer"/>
    <w:basedOn w:val="a"/>
    <w:link w:val="Char0"/>
    <w:uiPriority w:val="99"/>
    <w:unhideWhenUsed/>
    <w:rsid w:val="00626BEE"/>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EE"/>
    <w:rPr>
      <w:sz w:val="18"/>
      <w:szCs w:val="18"/>
    </w:rPr>
  </w:style>
  <w:style w:type="paragraph" w:styleId="a5">
    <w:name w:val="Balloon Text"/>
    <w:basedOn w:val="a"/>
    <w:link w:val="Char1"/>
    <w:uiPriority w:val="99"/>
    <w:semiHidden/>
    <w:unhideWhenUsed/>
    <w:rsid w:val="00C16579"/>
    <w:rPr>
      <w:sz w:val="18"/>
      <w:szCs w:val="18"/>
    </w:rPr>
  </w:style>
  <w:style w:type="character" w:customStyle="1" w:styleId="Char1">
    <w:name w:val="批注框文本 Char"/>
    <w:basedOn w:val="a0"/>
    <w:link w:val="a5"/>
    <w:uiPriority w:val="99"/>
    <w:semiHidden/>
    <w:rsid w:val="00C16579"/>
    <w:rPr>
      <w:sz w:val="18"/>
      <w:szCs w:val="18"/>
    </w:rPr>
  </w:style>
  <w:style w:type="paragraph" w:styleId="a6">
    <w:name w:val="List Paragraph"/>
    <w:basedOn w:val="a"/>
    <w:uiPriority w:val="34"/>
    <w:qFormat/>
    <w:rsid w:val="00D33D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BEE"/>
    <w:rPr>
      <w:sz w:val="18"/>
      <w:szCs w:val="18"/>
    </w:rPr>
  </w:style>
  <w:style w:type="paragraph" w:styleId="a4">
    <w:name w:val="footer"/>
    <w:basedOn w:val="a"/>
    <w:link w:val="Char0"/>
    <w:uiPriority w:val="99"/>
    <w:unhideWhenUsed/>
    <w:rsid w:val="00626BEE"/>
    <w:pPr>
      <w:tabs>
        <w:tab w:val="center" w:pos="4153"/>
        <w:tab w:val="right" w:pos="8306"/>
      </w:tabs>
      <w:snapToGrid w:val="0"/>
      <w:jc w:val="left"/>
    </w:pPr>
    <w:rPr>
      <w:sz w:val="18"/>
      <w:szCs w:val="18"/>
    </w:rPr>
  </w:style>
  <w:style w:type="character" w:customStyle="1" w:styleId="Char0">
    <w:name w:val="页脚 Char"/>
    <w:basedOn w:val="a0"/>
    <w:link w:val="a4"/>
    <w:uiPriority w:val="99"/>
    <w:rsid w:val="00626BEE"/>
    <w:rPr>
      <w:sz w:val="18"/>
      <w:szCs w:val="18"/>
    </w:rPr>
  </w:style>
  <w:style w:type="paragraph" w:styleId="a5">
    <w:name w:val="Balloon Text"/>
    <w:basedOn w:val="a"/>
    <w:link w:val="Char1"/>
    <w:uiPriority w:val="99"/>
    <w:semiHidden/>
    <w:unhideWhenUsed/>
    <w:rsid w:val="00C16579"/>
    <w:rPr>
      <w:sz w:val="18"/>
      <w:szCs w:val="18"/>
    </w:rPr>
  </w:style>
  <w:style w:type="character" w:customStyle="1" w:styleId="Char1">
    <w:name w:val="批注框文本 Char"/>
    <w:basedOn w:val="a0"/>
    <w:link w:val="a5"/>
    <w:uiPriority w:val="99"/>
    <w:semiHidden/>
    <w:rsid w:val="00C16579"/>
    <w:rPr>
      <w:sz w:val="18"/>
      <w:szCs w:val="18"/>
    </w:rPr>
  </w:style>
  <w:style w:type="paragraph" w:styleId="a6">
    <w:name w:val="List Paragraph"/>
    <w:basedOn w:val="a"/>
    <w:uiPriority w:val="34"/>
    <w:qFormat/>
    <w:rsid w:val="00D33D36"/>
    <w:pPr>
      <w:ind w:firstLineChars="200" w:firstLine="420"/>
    </w:pPr>
  </w:style>
</w:styles>
</file>

<file path=word/webSettings.xml><?xml version="1.0" encoding="utf-8"?>
<w:webSettings xmlns:r="http://schemas.openxmlformats.org/officeDocument/2006/relationships" xmlns:w="http://schemas.openxmlformats.org/wordprocessingml/2006/main">
  <w:divs>
    <w:div w:id="557326576">
      <w:bodyDiv w:val="1"/>
      <w:marLeft w:val="0"/>
      <w:marRight w:val="0"/>
      <w:marTop w:val="0"/>
      <w:marBottom w:val="0"/>
      <w:divBdr>
        <w:top w:val="none" w:sz="0" w:space="0" w:color="auto"/>
        <w:left w:val="none" w:sz="0" w:space="0" w:color="auto"/>
        <w:bottom w:val="none" w:sz="0" w:space="0" w:color="auto"/>
        <w:right w:val="none" w:sz="0" w:space="0" w:color="auto"/>
      </w:divBdr>
    </w:div>
    <w:div w:id="68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87B2-A8D2-42CF-82F4-6D1B8D0E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cp:lastPrinted>2018-05-17T08:08:00Z</cp:lastPrinted>
  <dcterms:created xsi:type="dcterms:W3CDTF">2018-09-29T05:10:00Z</dcterms:created>
  <dcterms:modified xsi:type="dcterms:W3CDTF">2018-10-11T05:56:00Z</dcterms:modified>
</cp:coreProperties>
</file>