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D" w:rsidRPr="00EA002D" w:rsidRDefault="00EA002D" w:rsidP="00EA002D">
      <w:pPr>
        <w:overflowPunct w:val="0"/>
        <w:spacing w:line="300" w:lineRule="exact"/>
        <w:rPr>
          <w:rFonts w:ascii="黑体" w:eastAsia="黑体" w:hAnsi="黑体"/>
          <w:spacing w:val="-20"/>
          <w:sz w:val="28"/>
          <w:szCs w:val="28"/>
        </w:rPr>
      </w:pPr>
      <w:r w:rsidRPr="00EA002D">
        <w:rPr>
          <w:rFonts w:ascii="黑体" w:eastAsia="黑体" w:hAnsi="黑体" w:hint="eastAsia"/>
          <w:spacing w:val="-20"/>
          <w:sz w:val="28"/>
          <w:szCs w:val="28"/>
        </w:rPr>
        <w:t>内 部 文 件</w:t>
      </w:r>
    </w:p>
    <w:p w:rsidR="00EA002D" w:rsidRPr="00EA002D" w:rsidRDefault="00EA002D" w:rsidP="00EA002D">
      <w:pPr>
        <w:overflowPunct w:val="0"/>
        <w:spacing w:line="300" w:lineRule="exact"/>
        <w:rPr>
          <w:rFonts w:ascii="黑体" w:eastAsia="黑体" w:hAnsi="黑体"/>
          <w:spacing w:val="-20"/>
          <w:sz w:val="28"/>
          <w:szCs w:val="28"/>
        </w:rPr>
      </w:pPr>
    </w:p>
    <w:p w:rsidR="00EA002D" w:rsidRPr="00EA002D" w:rsidRDefault="00EA002D" w:rsidP="00EA002D">
      <w:pPr>
        <w:overflowPunct w:val="0"/>
        <w:spacing w:line="300" w:lineRule="exact"/>
        <w:rPr>
          <w:rFonts w:ascii="黑体" w:eastAsia="黑体" w:hAnsi="黑体"/>
          <w:spacing w:val="-20"/>
          <w:sz w:val="28"/>
          <w:szCs w:val="28"/>
        </w:rPr>
      </w:pPr>
      <w:r w:rsidRPr="00EA002D">
        <w:rPr>
          <w:rFonts w:ascii="黑体" w:eastAsia="黑体" w:hAnsi="黑体" w:hint="eastAsia"/>
          <w:spacing w:val="-20"/>
          <w:sz w:val="28"/>
          <w:szCs w:val="28"/>
        </w:rPr>
        <w:t>注 意 保 存</w:t>
      </w:r>
    </w:p>
    <w:p w:rsidR="00EA002D" w:rsidRPr="00CC6098" w:rsidRDefault="00EA002D" w:rsidP="00EA002D">
      <w:pPr>
        <w:overflowPunct w:val="0"/>
        <w:spacing w:line="300" w:lineRule="exact"/>
        <w:rPr>
          <w:rFonts w:ascii="黑体" w:eastAsia="黑体" w:hAnsi="黑体"/>
          <w:spacing w:val="-20"/>
          <w:szCs w:val="32"/>
        </w:rPr>
      </w:pPr>
    </w:p>
    <w:p w:rsidR="00EA002D" w:rsidRDefault="00EA002D" w:rsidP="00EA002D">
      <w:pPr>
        <w:overflowPunct w:val="0"/>
        <w:spacing w:line="300" w:lineRule="exact"/>
        <w:rPr>
          <w:rFonts w:ascii="黑体" w:eastAsia="黑体" w:hAnsi="黑体"/>
          <w:spacing w:val="-20"/>
          <w:szCs w:val="32"/>
        </w:rPr>
      </w:pPr>
    </w:p>
    <w:p w:rsidR="00EA002D" w:rsidRPr="00401A45" w:rsidRDefault="00EA002D" w:rsidP="00EA002D">
      <w:pPr>
        <w:ind w:leftChars="-67" w:left="-141" w:rightChars="-24" w:right="-50"/>
        <w:jc w:val="center"/>
        <w:rPr>
          <w:rFonts w:ascii="方正小标宋_GBK" w:eastAsia="方正小标宋_GBK"/>
          <w:b/>
          <w:color w:val="FF0000"/>
          <w:spacing w:val="40"/>
          <w:w w:val="55"/>
          <w:sz w:val="110"/>
          <w:szCs w:val="110"/>
        </w:rPr>
      </w:pPr>
      <w:r w:rsidRPr="00401A45">
        <w:rPr>
          <w:rFonts w:ascii="方正小标宋_GBK" w:eastAsia="方正小标宋_GBK" w:hint="eastAsia"/>
          <w:b/>
          <w:color w:val="FF0000"/>
          <w:spacing w:val="40"/>
          <w:w w:val="55"/>
          <w:sz w:val="110"/>
          <w:szCs w:val="110"/>
        </w:rPr>
        <w:t>吉林省长春市中级人民法院</w:t>
      </w:r>
    </w:p>
    <w:p w:rsidR="00EA002D" w:rsidRPr="001B6E35" w:rsidRDefault="00EA002D" w:rsidP="00EA002D">
      <w:pPr>
        <w:overflowPunct w:val="0"/>
        <w:spacing w:line="1100" w:lineRule="exact"/>
        <w:jc w:val="center"/>
        <w:rPr>
          <w:rFonts w:ascii="仿宋_GB2312" w:eastAsia="仿宋_GB2312" w:hAnsi="仿宋"/>
          <w:sz w:val="32"/>
          <w:szCs w:val="32"/>
        </w:rPr>
      </w:pPr>
      <w:r w:rsidRPr="001B6E35">
        <w:rPr>
          <w:rFonts w:ascii="仿宋_GB2312" w:eastAsia="仿宋_GB2312" w:hint="eastAsia"/>
          <w:sz w:val="32"/>
          <w:szCs w:val="32"/>
        </w:rPr>
        <w:t>长中法</w:t>
      </w:r>
      <w:r w:rsidRPr="001B6E35">
        <w:rPr>
          <w:rFonts w:ascii="仿宋_GB2312" w:eastAsia="仿宋_GB2312" w:hAnsi="仿宋" w:hint="eastAsia"/>
          <w:sz w:val="32"/>
          <w:szCs w:val="32"/>
        </w:rPr>
        <w:t>〔2018〕123号</w:t>
      </w:r>
    </w:p>
    <w:p w:rsidR="00EA002D" w:rsidRDefault="00EA002D" w:rsidP="00EA002D">
      <w:pPr>
        <w:spacing w:line="600" w:lineRule="exact"/>
        <w:jc w:val="center"/>
        <w:rPr>
          <w:rFonts w:hAnsi="宋体"/>
          <w:color w:val="000000"/>
          <w:sz w:val="44"/>
          <w:szCs w:val="44"/>
        </w:rPr>
      </w:pPr>
    </w:p>
    <w:p w:rsidR="001274CC" w:rsidRPr="00EA002D" w:rsidRDefault="004549C1" w:rsidP="00EA002D">
      <w:pPr>
        <w:spacing w:line="600" w:lineRule="exact"/>
        <w:rPr>
          <w:rFonts w:hAnsi="仿宋"/>
          <w:position w:val="12"/>
          <w:szCs w:val="32"/>
        </w:rPr>
      </w:pPr>
      <w:r w:rsidRPr="004549C1">
        <w:rPr>
          <w:rFonts w:ascii="方正仿宋_GBK" w:hAnsi="宋体"/>
          <w:noProof/>
          <w:position w:val="1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2pt;margin-top:243.65pt;width:467.7pt;height:.05pt;z-index:-251658752;mso-position-horizontal-relative:page;mso-position-vertical-relative:margin" o:connectortype="straight" strokecolor="red" strokeweight="2.25pt">
            <w10:wrap anchorx="page" anchory="margin"/>
          </v:shape>
        </w:pict>
      </w:r>
    </w:p>
    <w:p w:rsidR="001274CC" w:rsidRPr="00A2762B" w:rsidRDefault="00A2762B" w:rsidP="00406E0F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长春市中级人民法院</w:t>
      </w:r>
      <w:r w:rsidR="00055BCF" w:rsidRPr="00A2762B">
        <w:rPr>
          <w:rFonts w:asciiTheme="minorEastAsia" w:hAnsiTheme="minorEastAsia" w:hint="eastAsia"/>
          <w:b/>
          <w:sz w:val="44"/>
          <w:szCs w:val="44"/>
        </w:rPr>
        <w:t>关于</w:t>
      </w:r>
      <w:r w:rsidR="00800051" w:rsidRPr="00A2762B">
        <w:rPr>
          <w:rFonts w:asciiTheme="minorEastAsia" w:hAnsiTheme="minorEastAsia" w:hint="eastAsia"/>
          <w:b/>
          <w:sz w:val="44"/>
          <w:szCs w:val="44"/>
        </w:rPr>
        <w:t>发回</w:t>
      </w:r>
    </w:p>
    <w:p w:rsidR="00D42DF7" w:rsidRPr="00A2762B" w:rsidRDefault="00C004B1" w:rsidP="001274CC">
      <w:pPr>
        <w:jc w:val="center"/>
        <w:rPr>
          <w:rFonts w:asciiTheme="minorEastAsia" w:hAnsiTheme="minorEastAsia"/>
          <w:b/>
          <w:sz w:val="44"/>
          <w:szCs w:val="44"/>
        </w:rPr>
      </w:pPr>
      <w:r w:rsidRPr="00A2762B">
        <w:rPr>
          <w:rFonts w:asciiTheme="minorEastAsia" w:hAnsiTheme="minorEastAsia" w:hint="eastAsia"/>
          <w:b/>
          <w:sz w:val="44"/>
          <w:szCs w:val="44"/>
        </w:rPr>
        <w:t>重审</w:t>
      </w:r>
      <w:r w:rsidR="00EA7DC7" w:rsidRPr="00A2762B">
        <w:rPr>
          <w:rFonts w:asciiTheme="minorEastAsia" w:hAnsiTheme="minorEastAsia" w:hint="eastAsia"/>
          <w:b/>
          <w:sz w:val="44"/>
          <w:szCs w:val="44"/>
        </w:rPr>
        <w:t>、</w:t>
      </w:r>
      <w:r w:rsidR="001274CC" w:rsidRPr="00A2762B">
        <w:rPr>
          <w:rFonts w:asciiTheme="minorEastAsia" w:hAnsiTheme="minorEastAsia" w:hint="eastAsia"/>
          <w:b/>
          <w:sz w:val="44"/>
          <w:szCs w:val="44"/>
        </w:rPr>
        <w:t>改判</w:t>
      </w:r>
      <w:r w:rsidR="00DB7251" w:rsidRPr="00A2762B">
        <w:rPr>
          <w:rFonts w:asciiTheme="minorEastAsia" w:hAnsiTheme="minorEastAsia" w:hint="eastAsia"/>
          <w:b/>
          <w:sz w:val="44"/>
          <w:szCs w:val="44"/>
        </w:rPr>
        <w:t>和</w:t>
      </w:r>
      <w:r w:rsidR="00124200" w:rsidRPr="00A2762B">
        <w:rPr>
          <w:rFonts w:asciiTheme="minorEastAsia" w:hAnsiTheme="minorEastAsia" w:hint="eastAsia"/>
          <w:b/>
          <w:sz w:val="44"/>
          <w:szCs w:val="44"/>
        </w:rPr>
        <w:t>指令再审</w:t>
      </w:r>
      <w:r w:rsidR="001274CC" w:rsidRPr="00A2762B">
        <w:rPr>
          <w:rFonts w:asciiTheme="minorEastAsia" w:hAnsiTheme="minorEastAsia" w:hint="eastAsia"/>
          <w:b/>
          <w:sz w:val="44"/>
          <w:szCs w:val="44"/>
        </w:rPr>
        <w:t>案件</w:t>
      </w:r>
      <w:r w:rsidR="00D42DF7" w:rsidRPr="00A2762B">
        <w:rPr>
          <w:rFonts w:asciiTheme="minorEastAsia" w:hAnsiTheme="minorEastAsia" w:hint="eastAsia"/>
          <w:b/>
          <w:sz w:val="44"/>
          <w:szCs w:val="44"/>
        </w:rPr>
        <w:t>质量</w:t>
      </w:r>
      <w:r w:rsidR="00055BCF" w:rsidRPr="00A2762B">
        <w:rPr>
          <w:rFonts w:asciiTheme="minorEastAsia" w:hAnsiTheme="minorEastAsia" w:hint="eastAsia"/>
          <w:b/>
          <w:sz w:val="44"/>
          <w:szCs w:val="44"/>
        </w:rPr>
        <w:t>双向</w:t>
      </w:r>
    </w:p>
    <w:p w:rsidR="001274CC" w:rsidRPr="00A2762B" w:rsidRDefault="00055BCF" w:rsidP="001274CC">
      <w:pPr>
        <w:jc w:val="center"/>
        <w:rPr>
          <w:rFonts w:asciiTheme="minorEastAsia" w:hAnsiTheme="minorEastAsia"/>
          <w:b/>
          <w:sz w:val="44"/>
          <w:szCs w:val="44"/>
        </w:rPr>
      </w:pPr>
      <w:r w:rsidRPr="00A2762B">
        <w:rPr>
          <w:rFonts w:asciiTheme="minorEastAsia" w:hAnsiTheme="minorEastAsia" w:hint="eastAsia"/>
          <w:b/>
          <w:sz w:val="44"/>
          <w:szCs w:val="44"/>
        </w:rPr>
        <w:t>评查</w:t>
      </w:r>
      <w:r w:rsidR="00D4301A" w:rsidRPr="00A2762B">
        <w:rPr>
          <w:rFonts w:asciiTheme="minorEastAsia" w:hAnsiTheme="minorEastAsia" w:hint="eastAsia"/>
          <w:b/>
          <w:sz w:val="44"/>
          <w:szCs w:val="44"/>
        </w:rPr>
        <w:t>工作</w:t>
      </w:r>
      <w:r w:rsidR="00D42DF7" w:rsidRPr="00A2762B">
        <w:rPr>
          <w:rFonts w:asciiTheme="minorEastAsia" w:hAnsiTheme="minorEastAsia" w:hint="eastAsia"/>
          <w:b/>
          <w:sz w:val="44"/>
          <w:szCs w:val="44"/>
        </w:rPr>
        <w:t>的</w:t>
      </w:r>
      <w:r w:rsidR="0071248E" w:rsidRPr="00A2762B">
        <w:rPr>
          <w:rFonts w:asciiTheme="minorEastAsia" w:hAnsiTheme="minorEastAsia" w:hint="eastAsia"/>
          <w:b/>
          <w:sz w:val="44"/>
          <w:szCs w:val="44"/>
        </w:rPr>
        <w:t>实施办法</w:t>
      </w:r>
      <w:r w:rsidR="001274CC" w:rsidRPr="00A2762B">
        <w:rPr>
          <w:rFonts w:asciiTheme="minorEastAsia" w:hAnsiTheme="minorEastAsia" w:hint="eastAsia"/>
          <w:b/>
          <w:sz w:val="44"/>
          <w:szCs w:val="44"/>
        </w:rPr>
        <w:t>(试行)</w:t>
      </w:r>
    </w:p>
    <w:p w:rsidR="00A01C03" w:rsidRPr="00A01C03" w:rsidRDefault="00A01C03" w:rsidP="00406E0F">
      <w:pPr>
        <w:jc w:val="center"/>
        <w:rPr>
          <w:rFonts w:ascii="仿宋_GB2312" w:eastAsia="仿宋_GB2312"/>
          <w:sz w:val="32"/>
          <w:szCs w:val="32"/>
        </w:rPr>
      </w:pPr>
    </w:p>
    <w:p w:rsidR="00A2762B" w:rsidRDefault="00A2762B" w:rsidP="00A2762B">
      <w:pPr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032881" w:rsidRPr="0077000F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274CC">
        <w:rPr>
          <w:rFonts w:ascii="仿宋_GB2312" w:eastAsia="仿宋_GB2312" w:hint="eastAsia"/>
          <w:sz w:val="32"/>
          <w:szCs w:val="32"/>
        </w:rPr>
        <w:t>为</w:t>
      </w:r>
      <w:r w:rsidR="007B2549">
        <w:rPr>
          <w:rFonts w:ascii="仿宋_GB2312" w:eastAsia="仿宋_GB2312" w:hint="eastAsia"/>
          <w:sz w:val="32"/>
          <w:szCs w:val="32"/>
        </w:rPr>
        <w:t>全面贯彻落实司法责任制，</w:t>
      </w:r>
      <w:r w:rsidR="00032881">
        <w:rPr>
          <w:rFonts w:ascii="仿宋_GB2312" w:eastAsia="仿宋_GB2312" w:hint="eastAsia"/>
          <w:sz w:val="32"/>
          <w:szCs w:val="32"/>
        </w:rPr>
        <w:t>完善</w:t>
      </w:r>
      <w:r w:rsidR="00830D39">
        <w:rPr>
          <w:rFonts w:ascii="仿宋_GB2312" w:eastAsia="仿宋_GB2312" w:hint="eastAsia"/>
          <w:sz w:val="32"/>
          <w:szCs w:val="32"/>
        </w:rPr>
        <w:t>案件</w:t>
      </w:r>
      <w:r w:rsidR="009E37EB">
        <w:rPr>
          <w:rFonts w:ascii="仿宋_GB2312" w:eastAsia="仿宋_GB2312" w:hint="eastAsia"/>
          <w:sz w:val="32"/>
          <w:szCs w:val="32"/>
        </w:rPr>
        <w:t>质量双向评查工作机制，充分发挥</w:t>
      </w:r>
      <w:r w:rsidR="001274CC">
        <w:rPr>
          <w:rFonts w:ascii="仿宋_GB2312" w:eastAsia="仿宋_GB2312" w:hint="eastAsia"/>
          <w:sz w:val="32"/>
          <w:szCs w:val="32"/>
        </w:rPr>
        <w:t>案件</w:t>
      </w:r>
      <w:r w:rsidR="009E37EB">
        <w:rPr>
          <w:rFonts w:ascii="仿宋_GB2312" w:eastAsia="仿宋_GB2312" w:hint="eastAsia"/>
          <w:sz w:val="32"/>
          <w:szCs w:val="32"/>
        </w:rPr>
        <w:t>质量双向评查</w:t>
      </w:r>
      <w:r w:rsidR="00720620">
        <w:rPr>
          <w:rFonts w:ascii="仿宋_GB2312" w:eastAsia="仿宋_GB2312" w:hint="eastAsia"/>
          <w:sz w:val="32"/>
          <w:szCs w:val="32"/>
        </w:rPr>
        <w:t>工作机制</w:t>
      </w:r>
      <w:r w:rsidR="009E37EB">
        <w:rPr>
          <w:rFonts w:ascii="仿宋_GB2312" w:eastAsia="仿宋_GB2312" w:hint="eastAsia"/>
          <w:sz w:val="32"/>
          <w:szCs w:val="32"/>
        </w:rPr>
        <w:t>在发现裁判标准差异、保障法律适用统一、推介裁判经验方法等方面的重要作用</w:t>
      </w:r>
      <w:r w:rsidR="004A361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依照</w:t>
      </w:r>
      <w:r w:rsidR="001274CC">
        <w:rPr>
          <w:rFonts w:ascii="仿宋_GB2312" w:eastAsia="仿宋_GB2312" w:hint="eastAsia"/>
          <w:sz w:val="32"/>
          <w:szCs w:val="32"/>
        </w:rPr>
        <w:t>《</w:t>
      </w:r>
      <w:r w:rsidR="00EA7DC7">
        <w:rPr>
          <w:rFonts w:ascii="仿宋_GB2312" w:eastAsia="仿宋_GB2312" w:hint="eastAsia"/>
          <w:sz w:val="32"/>
          <w:szCs w:val="32"/>
        </w:rPr>
        <w:t>最高人民法院</w:t>
      </w:r>
      <w:r w:rsidR="001274CC">
        <w:rPr>
          <w:rFonts w:ascii="仿宋_GB2312" w:eastAsia="仿宋_GB2312" w:hint="eastAsia"/>
          <w:sz w:val="32"/>
          <w:szCs w:val="32"/>
        </w:rPr>
        <w:t>关于完善人民法院司法责任制的若干问题意见》</w:t>
      </w:r>
      <w:r w:rsidR="003D6186">
        <w:rPr>
          <w:rFonts w:ascii="仿宋_GB2312" w:eastAsia="仿宋_GB2312" w:hint="eastAsia"/>
          <w:sz w:val="32"/>
          <w:szCs w:val="32"/>
        </w:rPr>
        <w:t>《</w:t>
      </w:r>
      <w:r w:rsidR="00EA7DC7">
        <w:rPr>
          <w:rFonts w:ascii="仿宋_GB2312" w:eastAsia="仿宋_GB2312" w:hint="eastAsia"/>
          <w:sz w:val="32"/>
          <w:szCs w:val="32"/>
        </w:rPr>
        <w:t>最高人民法院</w:t>
      </w:r>
      <w:r w:rsidR="003D6186">
        <w:rPr>
          <w:rFonts w:ascii="仿宋_GB2312" w:eastAsia="仿宋_GB2312" w:hint="eastAsia"/>
          <w:sz w:val="32"/>
          <w:szCs w:val="32"/>
        </w:rPr>
        <w:t>关于规范上下级人民法院审判业务关系的若干规定》</w:t>
      </w:r>
      <w:r w:rsidR="001274CC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长春市中级人民法院</w:t>
      </w:r>
      <w:r w:rsidR="001274CC">
        <w:rPr>
          <w:rFonts w:ascii="仿宋_GB2312" w:eastAsia="仿宋_GB2312" w:hint="eastAsia"/>
          <w:sz w:val="32"/>
          <w:szCs w:val="32"/>
        </w:rPr>
        <w:t>案件质量评查办法</w:t>
      </w:r>
      <w:r w:rsidR="00556BF5">
        <w:rPr>
          <w:rFonts w:ascii="仿宋_GB2312" w:eastAsia="仿宋_GB2312" w:hint="eastAsia"/>
          <w:sz w:val="32"/>
          <w:szCs w:val="32"/>
        </w:rPr>
        <w:t>(试行)</w:t>
      </w:r>
      <w:r w:rsidR="001274CC">
        <w:rPr>
          <w:rFonts w:ascii="仿宋_GB2312" w:eastAsia="仿宋_GB2312" w:hint="eastAsia"/>
          <w:sz w:val="32"/>
          <w:szCs w:val="32"/>
        </w:rPr>
        <w:t>》</w:t>
      </w:r>
      <w:r w:rsidR="006F0DF5">
        <w:rPr>
          <w:rFonts w:ascii="仿宋_GB2312" w:eastAsia="仿宋_GB2312" w:hint="eastAsia"/>
          <w:sz w:val="32"/>
          <w:szCs w:val="32"/>
        </w:rPr>
        <w:t>等规定，</w:t>
      </w:r>
      <w:r>
        <w:rPr>
          <w:rFonts w:ascii="仿宋_GB2312" w:eastAsia="仿宋_GB2312" w:hint="eastAsia"/>
          <w:sz w:val="32"/>
          <w:szCs w:val="32"/>
        </w:rPr>
        <w:t>根据《</w:t>
      </w:r>
      <w:r w:rsidRPr="00A2762B">
        <w:rPr>
          <w:rFonts w:ascii="仿宋_GB2312" w:eastAsia="仿宋_GB2312" w:hAnsi="黑体" w:hint="eastAsia"/>
          <w:sz w:val="32"/>
          <w:szCs w:val="32"/>
        </w:rPr>
        <w:t>吉林省高级人民</w:t>
      </w:r>
    </w:p>
    <w:p w:rsidR="00C44FCE" w:rsidRPr="00A2762B" w:rsidRDefault="00A2762B" w:rsidP="00A2762B">
      <w:pPr>
        <w:rPr>
          <w:rFonts w:ascii="仿宋_GB2312" w:eastAsia="仿宋_GB2312" w:hAnsi="黑体"/>
          <w:sz w:val="32"/>
          <w:szCs w:val="32"/>
        </w:rPr>
      </w:pPr>
      <w:r w:rsidRPr="00A2762B">
        <w:rPr>
          <w:rFonts w:ascii="仿宋_GB2312" w:eastAsia="仿宋_GB2312" w:hAnsi="黑体" w:hint="eastAsia"/>
          <w:sz w:val="32"/>
          <w:szCs w:val="32"/>
        </w:rPr>
        <w:t>法院关于严格依法适用发回重审和指令再审的规定(试</w:t>
      </w:r>
      <w:r w:rsidRPr="00A2762B">
        <w:rPr>
          <w:rFonts w:ascii="仿宋_GB2312" w:eastAsia="仿宋_GB2312" w:hAnsi="黑体" w:hint="eastAsia"/>
          <w:sz w:val="32"/>
          <w:szCs w:val="32"/>
        </w:rPr>
        <w:lastRenderedPageBreak/>
        <w:t>行)</w:t>
      </w:r>
      <w:r w:rsidRPr="00A2762B">
        <w:rPr>
          <w:rFonts w:ascii="仿宋_GB2312" w:eastAsia="仿宋_GB2312" w:hint="eastAsia"/>
          <w:sz w:val="32"/>
          <w:szCs w:val="32"/>
        </w:rPr>
        <w:t xml:space="preserve"> 》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6F0DF5">
        <w:rPr>
          <w:rFonts w:ascii="仿宋_GB2312" w:eastAsia="仿宋_GB2312" w:hint="eastAsia"/>
          <w:sz w:val="32"/>
          <w:szCs w:val="32"/>
        </w:rPr>
        <w:t>结合</w:t>
      </w:r>
      <w:r w:rsidR="00AF511F">
        <w:rPr>
          <w:rFonts w:ascii="仿宋_GB2312" w:eastAsia="仿宋_GB2312" w:hint="eastAsia"/>
          <w:sz w:val="32"/>
          <w:szCs w:val="32"/>
        </w:rPr>
        <w:t>审判</w:t>
      </w:r>
      <w:r w:rsidR="00AD287E">
        <w:rPr>
          <w:rFonts w:ascii="仿宋_GB2312" w:eastAsia="仿宋_GB2312" w:hint="eastAsia"/>
          <w:sz w:val="32"/>
          <w:szCs w:val="32"/>
        </w:rPr>
        <w:t>工作实际，制定本实施办法</w:t>
      </w:r>
      <w:r w:rsidR="00A85429">
        <w:rPr>
          <w:rFonts w:ascii="仿宋_GB2312" w:eastAsia="仿宋_GB2312" w:hint="eastAsia"/>
          <w:sz w:val="32"/>
          <w:szCs w:val="32"/>
        </w:rPr>
        <w:t>。</w:t>
      </w:r>
    </w:p>
    <w:p w:rsidR="00A85429" w:rsidRDefault="00032881" w:rsidP="00A85429">
      <w:pPr>
        <w:ind w:firstLine="645"/>
        <w:rPr>
          <w:rFonts w:ascii="仿宋_GB2312" w:eastAsia="仿宋_GB2312"/>
          <w:sz w:val="32"/>
          <w:szCs w:val="32"/>
        </w:rPr>
      </w:pPr>
      <w:r w:rsidRPr="0077000F">
        <w:rPr>
          <w:rFonts w:ascii="仿宋_GB2312" w:eastAsia="仿宋_GB2312" w:hint="eastAsia"/>
          <w:b/>
          <w:sz w:val="32"/>
          <w:szCs w:val="32"/>
        </w:rPr>
        <w:t>第二条</w:t>
      </w:r>
      <w:r w:rsidR="00A2762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475F3F">
        <w:rPr>
          <w:rFonts w:ascii="仿宋_GB2312" w:eastAsia="仿宋_GB2312" w:hint="eastAsia"/>
          <w:sz w:val="32"/>
          <w:szCs w:val="32"/>
        </w:rPr>
        <w:t>案件质量双向评查是指下级法院对</w:t>
      </w:r>
      <w:r w:rsidR="00C447DD">
        <w:rPr>
          <w:rFonts w:ascii="仿宋_GB2312" w:eastAsia="仿宋_GB2312" w:hint="eastAsia"/>
          <w:sz w:val="32"/>
          <w:szCs w:val="32"/>
        </w:rPr>
        <w:t>于被</w:t>
      </w:r>
      <w:r w:rsidR="00475F3F">
        <w:rPr>
          <w:rFonts w:ascii="仿宋_GB2312" w:eastAsia="仿宋_GB2312" w:hint="eastAsia"/>
          <w:sz w:val="32"/>
          <w:szCs w:val="32"/>
        </w:rPr>
        <w:t>上级法院发回重审</w:t>
      </w:r>
      <w:r w:rsidR="00CD149A">
        <w:rPr>
          <w:rFonts w:ascii="仿宋_GB2312" w:eastAsia="仿宋_GB2312" w:hint="eastAsia"/>
          <w:sz w:val="32"/>
          <w:szCs w:val="32"/>
        </w:rPr>
        <w:t>、</w:t>
      </w:r>
      <w:r w:rsidR="00475F3F">
        <w:rPr>
          <w:rFonts w:ascii="仿宋_GB2312" w:eastAsia="仿宋_GB2312" w:hint="eastAsia"/>
          <w:sz w:val="32"/>
          <w:szCs w:val="32"/>
        </w:rPr>
        <w:t>改判</w:t>
      </w:r>
      <w:r w:rsidR="00302067">
        <w:rPr>
          <w:rFonts w:ascii="仿宋_GB2312" w:eastAsia="仿宋_GB2312" w:hint="eastAsia"/>
          <w:sz w:val="32"/>
          <w:szCs w:val="32"/>
        </w:rPr>
        <w:t>和指令再审</w:t>
      </w:r>
      <w:r w:rsidR="00C447DD">
        <w:rPr>
          <w:rFonts w:ascii="仿宋_GB2312" w:eastAsia="仿宋_GB2312" w:hint="eastAsia"/>
          <w:sz w:val="32"/>
          <w:szCs w:val="32"/>
        </w:rPr>
        <w:t>的</w:t>
      </w:r>
      <w:r w:rsidR="00475F3F">
        <w:rPr>
          <w:rFonts w:ascii="仿宋_GB2312" w:eastAsia="仿宋_GB2312" w:hint="eastAsia"/>
          <w:sz w:val="32"/>
          <w:szCs w:val="32"/>
        </w:rPr>
        <w:t>案件</w:t>
      </w:r>
      <w:r w:rsidR="00CD149A">
        <w:rPr>
          <w:rFonts w:ascii="仿宋_GB2312" w:eastAsia="仿宋_GB2312" w:hint="eastAsia"/>
          <w:sz w:val="32"/>
          <w:szCs w:val="32"/>
        </w:rPr>
        <w:t>，</w:t>
      </w:r>
      <w:r w:rsidR="003A27A4">
        <w:rPr>
          <w:rFonts w:ascii="仿宋_GB2312" w:eastAsia="仿宋_GB2312" w:hint="eastAsia"/>
          <w:sz w:val="32"/>
          <w:szCs w:val="32"/>
        </w:rPr>
        <w:t>在案件发生法律效力后</w:t>
      </w:r>
      <w:r w:rsidR="00475F3F">
        <w:rPr>
          <w:rFonts w:ascii="仿宋_GB2312" w:eastAsia="仿宋_GB2312" w:hint="eastAsia"/>
          <w:sz w:val="32"/>
          <w:szCs w:val="32"/>
        </w:rPr>
        <w:t>进行案件质量评查</w:t>
      </w:r>
      <w:r w:rsidR="00605486">
        <w:rPr>
          <w:rFonts w:ascii="仿宋_GB2312" w:eastAsia="仿宋_GB2312" w:hint="eastAsia"/>
          <w:sz w:val="32"/>
          <w:szCs w:val="32"/>
        </w:rPr>
        <w:t>，</w:t>
      </w:r>
      <w:r w:rsidR="00DE65FE">
        <w:rPr>
          <w:rFonts w:ascii="仿宋_GB2312" w:eastAsia="仿宋_GB2312" w:hint="eastAsia"/>
          <w:sz w:val="32"/>
          <w:szCs w:val="32"/>
        </w:rPr>
        <w:t>并</w:t>
      </w:r>
      <w:r w:rsidR="00605486">
        <w:rPr>
          <w:rFonts w:ascii="仿宋_GB2312" w:eastAsia="仿宋_GB2312" w:hint="eastAsia"/>
          <w:sz w:val="32"/>
          <w:szCs w:val="32"/>
        </w:rPr>
        <w:t>提交</w:t>
      </w:r>
      <w:r w:rsidR="00CD149A">
        <w:rPr>
          <w:rFonts w:ascii="仿宋_GB2312" w:eastAsia="仿宋_GB2312" w:hint="eastAsia"/>
          <w:sz w:val="32"/>
          <w:szCs w:val="32"/>
        </w:rPr>
        <w:t>本院审判委员会</w:t>
      </w:r>
      <w:r w:rsidR="00A111BC">
        <w:rPr>
          <w:rFonts w:ascii="仿宋_GB2312" w:eastAsia="仿宋_GB2312" w:hint="eastAsia"/>
          <w:sz w:val="32"/>
          <w:szCs w:val="32"/>
        </w:rPr>
        <w:t>讨论决定，</w:t>
      </w:r>
      <w:r w:rsidR="00973213">
        <w:rPr>
          <w:rFonts w:ascii="仿宋_GB2312" w:eastAsia="仿宋_GB2312" w:hint="eastAsia"/>
          <w:sz w:val="32"/>
          <w:szCs w:val="32"/>
        </w:rPr>
        <w:t>如果</w:t>
      </w:r>
      <w:r w:rsidR="00627FE9">
        <w:rPr>
          <w:rFonts w:ascii="仿宋_GB2312" w:eastAsia="仿宋_GB2312" w:hint="eastAsia"/>
          <w:sz w:val="32"/>
          <w:szCs w:val="32"/>
        </w:rPr>
        <w:t>下级法院</w:t>
      </w:r>
      <w:r w:rsidR="00605486">
        <w:rPr>
          <w:rFonts w:ascii="仿宋_GB2312" w:eastAsia="仿宋_GB2312" w:hint="eastAsia"/>
          <w:sz w:val="32"/>
          <w:szCs w:val="32"/>
        </w:rPr>
        <w:t>对上级法院发回</w:t>
      </w:r>
      <w:r w:rsidR="009847C6">
        <w:rPr>
          <w:rFonts w:ascii="仿宋_GB2312" w:eastAsia="仿宋_GB2312" w:hint="eastAsia"/>
          <w:sz w:val="32"/>
          <w:szCs w:val="32"/>
        </w:rPr>
        <w:t>重审、</w:t>
      </w:r>
      <w:r w:rsidR="00605486">
        <w:rPr>
          <w:rFonts w:ascii="仿宋_GB2312" w:eastAsia="仿宋_GB2312" w:hint="eastAsia"/>
          <w:sz w:val="32"/>
          <w:szCs w:val="32"/>
        </w:rPr>
        <w:t>改判</w:t>
      </w:r>
      <w:r w:rsidR="00C65383">
        <w:rPr>
          <w:rFonts w:ascii="仿宋_GB2312" w:eastAsia="仿宋_GB2312" w:hint="eastAsia"/>
          <w:sz w:val="32"/>
          <w:szCs w:val="32"/>
        </w:rPr>
        <w:t>和指</w:t>
      </w:r>
      <w:r w:rsidR="005129E4">
        <w:rPr>
          <w:rFonts w:ascii="仿宋_GB2312" w:eastAsia="仿宋_GB2312" w:hint="eastAsia"/>
          <w:sz w:val="32"/>
          <w:szCs w:val="32"/>
        </w:rPr>
        <w:t>令</w:t>
      </w:r>
      <w:r w:rsidR="00C65383">
        <w:rPr>
          <w:rFonts w:ascii="仿宋_GB2312" w:eastAsia="仿宋_GB2312" w:hint="eastAsia"/>
          <w:sz w:val="32"/>
          <w:szCs w:val="32"/>
        </w:rPr>
        <w:t>再审</w:t>
      </w:r>
      <w:r w:rsidR="00C447DD">
        <w:rPr>
          <w:rFonts w:ascii="仿宋_GB2312" w:eastAsia="仿宋_GB2312" w:hint="eastAsia"/>
          <w:sz w:val="32"/>
          <w:szCs w:val="32"/>
        </w:rPr>
        <w:t>的</w:t>
      </w:r>
      <w:r w:rsidR="00F00A4F">
        <w:rPr>
          <w:rFonts w:ascii="仿宋_GB2312" w:eastAsia="仿宋_GB2312" w:hint="eastAsia"/>
          <w:sz w:val="32"/>
          <w:szCs w:val="32"/>
        </w:rPr>
        <w:t>理由</w:t>
      </w:r>
      <w:r w:rsidR="00C447DD">
        <w:rPr>
          <w:rFonts w:ascii="仿宋_GB2312" w:eastAsia="仿宋_GB2312" w:hint="eastAsia"/>
          <w:sz w:val="32"/>
          <w:szCs w:val="32"/>
        </w:rPr>
        <w:t>和</w:t>
      </w:r>
      <w:r w:rsidR="009847C6">
        <w:rPr>
          <w:rFonts w:ascii="仿宋_GB2312" w:eastAsia="仿宋_GB2312" w:hint="eastAsia"/>
          <w:sz w:val="32"/>
          <w:szCs w:val="32"/>
        </w:rPr>
        <w:t>法律</w:t>
      </w:r>
      <w:r w:rsidR="00C447DD">
        <w:rPr>
          <w:rFonts w:ascii="仿宋_GB2312" w:eastAsia="仿宋_GB2312" w:hint="eastAsia"/>
          <w:sz w:val="32"/>
          <w:szCs w:val="32"/>
        </w:rPr>
        <w:t>依据</w:t>
      </w:r>
      <w:r w:rsidR="00605486">
        <w:rPr>
          <w:rFonts w:ascii="仿宋_GB2312" w:eastAsia="仿宋_GB2312" w:hint="eastAsia"/>
          <w:sz w:val="32"/>
          <w:szCs w:val="32"/>
        </w:rPr>
        <w:t>存在异议，</w:t>
      </w:r>
      <w:r w:rsidR="00005C06">
        <w:rPr>
          <w:rFonts w:ascii="仿宋_GB2312" w:eastAsia="仿宋_GB2312" w:hint="eastAsia"/>
          <w:sz w:val="32"/>
          <w:szCs w:val="32"/>
        </w:rPr>
        <w:t>提请</w:t>
      </w:r>
      <w:r w:rsidR="00605486">
        <w:rPr>
          <w:rFonts w:ascii="仿宋_GB2312" w:eastAsia="仿宋_GB2312" w:hint="eastAsia"/>
          <w:sz w:val="32"/>
          <w:szCs w:val="32"/>
        </w:rPr>
        <w:t>上级法院进行案件质量评查</w:t>
      </w:r>
      <w:r w:rsidR="00E0156D">
        <w:rPr>
          <w:rFonts w:ascii="仿宋_GB2312" w:eastAsia="仿宋_GB2312" w:hint="eastAsia"/>
          <w:sz w:val="32"/>
          <w:szCs w:val="32"/>
        </w:rPr>
        <w:t xml:space="preserve">   </w:t>
      </w:r>
      <w:r w:rsidR="00605486">
        <w:rPr>
          <w:rFonts w:ascii="仿宋_GB2312" w:eastAsia="仿宋_GB2312" w:hint="eastAsia"/>
          <w:sz w:val="32"/>
          <w:szCs w:val="32"/>
        </w:rPr>
        <w:t>，经上级法院</w:t>
      </w:r>
      <w:r w:rsidR="00005C06">
        <w:rPr>
          <w:rFonts w:ascii="仿宋_GB2312" w:eastAsia="仿宋_GB2312" w:hint="eastAsia"/>
          <w:sz w:val="32"/>
          <w:szCs w:val="32"/>
        </w:rPr>
        <w:t>的</w:t>
      </w:r>
      <w:r w:rsidR="00973213">
        <w:rPr>
          <w:rFonts w:ascii="仿宋_GB2312" w:eastAsia="仿宋_GB2312" w:hint="eastAsia"/>
          <w:sz w:val="32"/>
          <w:szCs w:val="32"/>
        </w:rPr>
        <w:t>审判委员会讨论决定后，</w:t>
      </w:r>
      <w:r w:rsidR="00E800D3">
        <w:rPr>
          <w:rFonts w:ascii="仿宋_GB2312" w:eastAsia="仿宋_GB2312" w:hint="eastAsia"/>
          <w:sz w:val="32"/>
          <w:szCs w:val="32"/>
        </w:rPr>
        <w:t>上级法院</w:t>
      </w:r>
      <w:r w:rsidR="00C940DB">
        <w:rPr>
          <w:rFonts w:ascii="仿宋_GB2312" w:eastAsia="仿宋_GB2312" w:hint="eastAsia"/>
          <w:sz w:val="32"/>
          <w:szCs w:val="32"/>
        </w:rPr>
        <w:t>的</w:t>
      </w:r>
      <w:r w:rsidR="00E800D3">
        <w:rPr>
          <w:rFonts w:ascii="仿宋_GB2312" w:eastAsia="仿宋_GB2312" w:hint="eastAsia"/>
          <w:sz w:val="32"/>
          <w:szCs w:val="32"/>
        </w:rPr>
        <w:t>审判管理部门</w:t>
      </w:r>
      <w:r w:rsidR="00605486">
        <w:rPr>
          <w:rFonts w:ascii="仿宋_GB2312" w:eastAsia="仿宋_GB2312" w:hint="eastAsia"/>
          <w:sz w:val="32"/>
          <w:szCs w:val="32"/>
        </w:rPr>
        <w:t>将</w:t>
      </w:r>
      <w:r w:rsidR="00973213">
        <w:rPr>
          <w:rFonts w:ascii="仿宋_GB2312" w:eastAsia="仿宋_GB2312" w:hint="eastAsia"/>
          <w:sz w:val="32"/>
          <w:szCs w:val="32"/>
        </w:rPr>
        <w:t>案件质量</w:t>
      </w:r>
      <w:r w:rsidR="00605486">
        <w:rPr>
          <w:rFonts w:ascii="仿宋_GB2312" w:eastAsia="仿宋_GB2312" w:hint="eastAsia"/>
          <w:sz w:val="32"/>
          <w:szCs w:val="32"/>
        </w:rPr>
        <w:t>评查结果</w:t>
      </w:r>
      <w:r w:rsidR="002D7BA8">
        <w:rPr>
          <w:rFonts w:ascii="仿宋_GB2312" w:eastAsia="仿宋_GB2312" w:hint="eastAsia"/>
          <w:sz w:val="32"/>
          <w:szCs w:val="32"/>
        </w:rPr>
        <w:t>书面回</w:t>
      </w:r>
      <w:r w:rsidR="002B1C8E">
        <w:rPr>
          <w:rFonts w:ascii="仿宋_GB2312" w:eastAsia="仿宋_GB2312" w:hint="eastAsia"/>
          <w:sz w:val="32"/>
          <w:szCs w:val="32"/>
        </w:rPr>
        <w:t>复</w:t>
      </w:r>
      <w:r w:rsidR="00605486">
        <w:rPr>
          <w:rFonts w:ascii="仿宋_GB2312" w:eastAsia="仿宋_GB2312" w:hint="eastAsia"/>
          <w:sz w:val="32"/>
          <w:szCs w:val="32"/>
        </w:rPr>
        <w:t>异议法院的工作机制。</w:t>
      </w:r>
    </w:p>
    <w:p w:rsidR="00B44854" w:rsidRDefault="00B44854" w:rsidP="00A85429">
      <w:pPr>
        <w:ind w:firstLine="645"/>
        <w:rPr>
          <w:rFonts w:ascii="仿宋_GB2312" w:eastAsia="仿宋_GB2312"/>
          <w:sz w:val="32"/>
          <w:szCs w:val="32"/>
        </w:rPr>
      </w:pPr>
      <w:r w:rsidRPr="0077000F">
        <w:rPr>
          <w:rFonts w:ascii="仿宋_GB2312" w:eastAsia="仿宋_GB2312" w:hint="eastAsia"/>
          <w:b/>
          <w:sz w:val="32"/>
          <w:szCs w:val="32"/>
        </w:rPr>
        <w:t>第三条</w:t>
      </w:r>
      <w:r w:rsidR="00A2762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2762B">
        <w:rPr>
          <w:rFonts w:ascii="仿宋_GB2312" w:eastAsia="仿宋_GB2312" w:hint="eastAsia"/>
          <w:sz w:val="32"/>
          <w:szCs w:val="32"/>
        </w:rPr>
        <w:t>全市</w:t>
      </w:r>
      <w:r w:rsidR="00354503">
        <w:rPr>
          <w:rFonts w:ascii="仿宋_GB2312" w:eastAsia="仿宋_GB2312" w:hint="eastAsia"/>
          <w:sz w:val="32"/>
          <w:szCs w:val="32"/>
        </w:rPr>
        <w:t>法院</w:t>
      </w:r>
      <w:r w:rsidR="00973213">
        <w:rPr>
          <w:rFonts w:ascii="仿宋_GB2312" w:eastAsia="仿宋_GB2312" w:hint="eastAsia"/>
          <w:sz w:val="32"/>
          <w:szCs w:val="32"/>
        </w:rPr>
        <w:t>应当进行</w:t>
      </w:r>
      <w:r w:rsidR="00181D1C">
        <w:rPr>
          <w:rFonts w:ascii="仿宋_GB2312" w:eastAsia="仿宋_GB2312" w:hint="eastAsia"/>
          <w:sz w:val="32"/>
          <w:szCs w:val="32"/>
        </w:rPr>
        <w:t>案件质量</w:t>
      </w:r>
      <w:r w:rsidR="00E62900">
        <w:rPr>
          <w:rFonts w:ascii="仿宋_GB2312" w:eastAsia="仿宋_GB2312" w:hint="eastAsia"/>
          <w:sz w:val="32"/>
          <w:szCs w:val="32"/>
        </w:rPr>
        <w:t>双向</w:t>
      </w:r>
      <w:r w:rsidR="00322ED0">
        <w:rPr>
          <w:rFonts w:ascii="仿宋_GB2312" w:eastAsia="仿宋_GB2312" w:hint="eastAsia"/>
          <w:sz w:val="32"/>
          <w:szCs w:val="32"/>
        </w:rPr>
        <w:t>评查的</w:t>
      </w:r>
      <w:r w:rsidR="00973213">
        <w:rPr>
          <w:rFonts w:ascii="仿宋_GB2312" w:eastAsia="仿宋_GB2312" w:hint="eastAsia"/>
          <w:sz w:val="32"/>
          <w:szCs w:val="32"/>
        </w:rPr>
        <w:t>案件</w:t>
      </w:r>
      <w:r w:rsidR="006174A2">
        <w:rPr>
          <w:rFonts w:ascii="仿宋_GB2312" w:eastAsia="仿宋_GB2312" w:hint="eastAsia"/>
          <w:sz w:val="32"/>
          <w:szCs w:val="32"/>
        </w:rPr>
        <w:t>包括二审、再审</w:t>
      </w:r>
      <w:r w:rsidR="00973213">
        <w:rPr>
          <w:rFonts w:ascii="仿宋_GB2312" w:eastAsia="仿宋_GB2312" w:hint="eastAsia"/>
          <w:sz w:val="32"/>
          <w:szCs w:val="32"/>
        </w:rPr>
        <w:t>和</w:t>
      </w:r>
      <w:r w:rsidR="006174A2">
        <w:rPr>
          <w:rFonts w:ascii="仿宋_GB2312" w:eastAsia="仿宋_GB2312" w:hint="eastAsia"/>
          <w:sz w:val="32"/>
          <w:szCs w:val="32"/>
        </w:rPr>
        <w:t>再审审查</w:t>
      </w:r>
      <w:r w:rsidR="00973213">
        <w:rPr>
          <w:rFonts w:ascii="仿宋_GB2312" w:eastAsia="仿宋_GB2312" w:hint="eastAsia"/>
          <w:sz w:val="32"/>
          <w:szCs w:val="32"/>
        </w:rPr>
        <w:t>后</w:t>
      </w:r>
      <w:r w:rsidR="006174A2">
        <w:rPr>
          <w:rFonts w:ascii="仿宋_GB2312" w:eastAsia="仿宋_GB2312" w:hint="eastAsia"/>
          <w:sz w:val="32"/>
          <w:szCs w:val="32"/>
        </w:rPr>
        <w:t>被发回重审、改判和指令再审的案件</w:t>
      </w:r>
      <w:r w:rsidR="00FF405E">
        <w:rPr>
          <w:rFonts w:ascii="仿宋_GB2312" w:eastAsia="仿宋_GB2312" w:hint="eastAsia"/>
          <w:sz w:val="32"/>
          <w:szCs w:val="32"/>
        </w:rPr>
        <w:t>。对</w:t>
      </w:r>
      <w:r w:rsidR="00842869">
        <w:rPr>
          <w:rFonts w:ascii="仿宋_GB2312" w:eastAsia="仿宋_GB2312" w:hint="eastAsia"/>
          <w:sz w:val="32"/>
          <w:szCs w:val="32"/>
        </w:rPr>
        <w:t>于</w:t>
      </w:r>
      <w:r w:rsidR="00FF405E">
        <w:rPr>
          <w:rFonts w:ascii="仿宋_GB2312" w:eastAsia="仿宋_GB2312" w:hint="eastAsia"/>
          <w:sz w:val="32"/>
          <w:szCs w:val="32"/>
        </w:rPr>
        <w:t>被发回重审</w:t>
      </w:r>
      <w:r w:rsidR="00005C06">
        <w:rPr>
          <w:rFonts w:ascii="仿宋_GB2312" w:eastAsia="仿宋_GB2312" w:hint="eastAsia"/>
          <w:sz w:val="32"/>
          <w:szCs w:val="32"/>
        </w:rPr>
        <w:t>或指令再审</w:t>
      </w:r>
      <w:r w:rsidR="00973213">
        <w:rPr>
          <w:rFonts w:ascii="仿宋_GB2312" w:eastAsia="仿宋_GB2312" w:hint="eastAsia"/>
          <w:sz w:val="32"/>
          <w:szCs w:val="32"/>
        </w:rPr>
        <w:t>的案件</w:t>
      </w:r>
      <w:r w:rsidR="00A96DB0">
        <w:rPr>
          <w:rFonts w:ascii="仿宋_GB2312" w:eastAsia="仿宋_GB2312" w:hint="eastAsia"/>
          <w:sz w:val="32"/>
          <w:szCs w:val="32"/>
        </w:rPr>
        <w:t>，一审(原审)法院</w:t>
      </w:r>
      <w:r w:rsidR="00FF405E">
        <w:rPr>
          <w:rFonts w:ascii="仿宋_GB2312" w:eastAsia="仿宋_GB2312" w:hint="eastAsia"/>
          <w:sz w:val="32"/>
          <w:szCs w:val="32"/>
        </w:rPr>
        <w:t>又按</w:t>
      </w:r>
      <w:r w:rsidR="00842869">
        <w:rPr>
          <w:rFonts w:ascii="仿宋_GB2312" w:eastAsia="仿宋_GB2312" w:hint="eastAsia"/>
          <w:sz w:val="32"/>
          <w:szCs w:val="32"/>
        </w:rPr>
        <w:t>原</w:t>
      </w:r>
      <w:r w:rsidR="00920A66">
        <w:rPr>
          <w:rFonts w:ascii="仿宋_GB2312" w:eastAsia="仿宋_GB2312" w:hint="eastAsia"/>
          <w:sz w:val="32"/>
          <w:szCs w:val="32"/>
        </w:rPr>
        <w:t>裁判</w:t>
      </w:r>
      <w:r w:rsidR="00973213">
        <w:rPr>
          <w:rFonts w:ascii="仿宋_GB2312" w:eastAsia="仿宋_GB2312" w:hint="eastAsia"/>
          <w:sz w:val="32"/>
          <w:szCs w:val="32"/>
        </w:rPr>
        <w:t>结果进行裁判的</w:t>
      </w:r>
      <w:r w:rsidR="00214EA4">
        <w:rPr>
          <w:rFonts w:ascii="仿宋_GB2312" w:eastAsia="仿宋_GB2312" w:hint="eastAsia"/>
          <w:sz w:val="32"/>
          <w:szCs w:val="32"/>
        </w:rPr>
        <w:t>，</w:t>
      </w:r>
      <w:r w:rsidR="00E62900">
        <w:rPr>
          <w:rFonts w:ascii="仿宋_GB2312" w:eastAsia="仿宋_GB2312" w:hint="eastAsia"/>
          <w:sz w:val="32"/>
          <w:szCs w:val="32"/>
        </w:rPr>
        <w:t>一审(原审)法院</w:t>
      </w:r>
      <w:r w:rsidR="00214EA4">
        <w:rPr>
          <w:rFonts w:ascii="仿宋_GB2312" w:eastAsia="仿宋_GB2312" w:hint="eastAsia"/>
          <w:sz w:val="32"/>
          <w:szCs w:val="32"/>
        </w:rPr>
        <w:t>必须</w:t>
      </w:r>
      <w:r w:rsidR="00A96DB0">
        <w:rPr>
          <w:rFonts w:ascii="仿宋_GB2312" w:eastAsia="仿宋_GB2312" w:hint="eastAsia"/>
          <w:sz w:val="32"/>
          <w:szCs w:val="32"/>
        </w:rPr>
        <w:t>进行案件质量双向评查</w:t>
      </w:r>
      <w:r w:rsidR="00FF405E">
        <w:rPr>
          <w:rFonts w:ascii="仿宋_GB2312" w:eastAsia="仿宋_GB2312" w:hint="eastAsia"/>
          <w:sz w:val="32"/>
          <w:szCs w:val="32"/>
        </w:rPr>
        <w:t>。</w:t>
      </w:r>
    </w:p>
    <w:p w:rsidR="006174A2" w:rsidRDefault="006174A2" w:rsidP="00A85429">
      <w:pPr>
        <w:ind w:firstLine="645"/>
        <w:rPr>
          <w:rFonts w:ascii="仿宋_GB2312" w:eastAsia="仿宋_GB2312"/>
          <w:sz w:val="32"/>
          <w:szCs w:val="32"/>
        </w:rPr>
      </w:pPr>
      <w:r w:rsidRPr="0077000F">
        <w:rPr>
          <w:rFonts w:ascii="仿宋_GB2312" w:eastAsia="仿宋_GB2312" w:hint="eastAsia"/>
          <w:b/>
          <w:sz w:val="32"/>
          <w:szCs w:val="32"/>
        </w:rPr>
        <w:t>第四条</w:t>
      </w:r>
      <w:r w:rsidR="00A2762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2762B">
        <w:rPr>
          <w:rFonts w:ascii="仿宋_GB2312" w:eastAsia="仿宋_GB2312" w:hint="eastAsia"/>
          <w:sz w:val="32"/>
          <w:szCs w:val="32"/>
        </w:rPr>
        <w:t>全市</w:t>
      </w:r>
      <w:r w:rsidR="00AF511F">
        <w:rPr>
          <w:rFonts w:ascii="仿宋_GB2312" w:eastAsia="仿宋_GB2312" w:hint="eastAsia"/>
          <w:sz w:val="32"/>
          <w:szCs w:val="32"/>
        </w:rPr>
        <w:t>法院的审判管理部门是案件质量</w:t>
      </w:r>
      <w:r w:rsidR="003C04CC">
        <w:rPr>
          <w:rFonts w:ascii="仿宋_GB2312" w:eastAsia="仿宋_GB2312" w:hint="eastAsia"/>
          <w:sz w:val="32"/>
          <w:szCs w:val="32"/>
        </w:rPr>
        <w:t>评查工作的</w:t>
      </w:r>
      <w:r w:rsidR="006E612A">
        <w:rPr>
          <w:rFonts w:ascii="仿宋_GB2312" w:eastAsia="仿宋_GB2312" w:hint="eastAsia"/>
          <w:sz w:val="32"/>
          <w:szCs w:val="32"/>
        </w:rPr>
        <w:t>管理部门，</w:t>
      </w:r>
      <w:r w:rsidR="003366A5">
        <w:rPr>
          <w:rFonts w:ascii="仿宋_GB2312" w:eastAsia="仿宋_GB2312" w:hint="eastAsia"/>
          <w:sz w:val="32"/>
          <w:szCs w:val="32"/>
        </w:rPr>
        <w:t>负责建立发回重审、改判和指令再审案件台账</w:t>
      </w:r>
      <w:r w:rsidR="008771DF">
        <w:rPr>
          <w:rFonts w:ascii="仿宋_GB2312" w:eastAsia="仿宋_GB2312" w:hint="eastAsia"/>
          <w:sz w:val="32"/>
          <w:szCs w:val="32"/>
        </w:rPr>
        <w:t>、</w:t>
      </w:r>
      <w:r w:rsidR="001536F8">
        <w:rPr>
          <w:rFonts w:ascii="仿宋_GB2312" w:eastAsia="仿宋_GB2312" w:hint="eastAsia"/>
          <w:sz w:val="32"/>
          <w:szCs w:val="32"/>
        </w:rPr>
        <w:t>逐案跟踪、</w:t>
      </w:r>
      <w:r w:rsidR="005005E3">
        <w:rPr>
          <w:rFonts w:ascii="仿宋_GB2312" w:eastAsia="仿宋_GB2312" w:hint="eastAsia"/>
          <w:sz w:val="32"/>
          <w:szCs w:val="32"/>
        </w:rPr>
        <w:t>接收和</w:t>
      </w:r>
      <w:r w:rsidR="00C04868">
        <w:rPr>
          <w:rFonts w:ascii="仿宋_GB2312" w:eastAsia="仿宋_GB2312" w:hint="eastAsia"/>
          <w:sz w:val="32"/>
          <w:szCs w:val="32"/>
        </w:rPr>
        <w:t>登记下级法院申请案件质量双向评查材料、</w:t>
      </w:r>
      <w:r w:rsidR="00394058">
        <w:rPr>
          <w:rFonts w:ascii="仿宋_GB2312" w:eastAsia="仿宋_GB2312" w:hint="eastAsia"/>
          <w:sz w:val="32"/>
          <w:szCs w:val="32"/>
        </w:rPr>
        <w:t>衔接立案、</w:t>
      </w:r>
      <w:r w:rsidR="008771DF">
        <w:rPr>
          <w:rFonts w:ascii="仿宋_GB2312" w:eastAsia="仿宋_GB2312" w:hint="eastAsia"/>
          <w:sz w:val="32"/>
          <w:szCs w:val="32"/>
        </w:rPr>
        <w:t>组织</w:t>
      </w:r>
      <w:r w:rsidR="0014303E">
        <w:rPr>
          <w:rFonts w:ascii="仿宋_GB2312" w:eastAsia="仿宋_GB2312" w:hint="eastAsia"/>
          <w:sz w:val="32"/>
          <w:szCs w:val="32"/>
        </w:rPr>
        <w:t>案件质量评查人员</w:t>
      </w:r>
      <w:r w:rsidR="00AF511F">
        <w:rPr>
          <w:rFonts w:ascii="仿宋_GB2312" w:eastAsia="仿宋_GB2312" w:hint="eastAsia"/>
          <w:sz w:val="32"/>
          <w:szCs w:val="32"/>
        </w:rPr>
        <w:t>开展案件质量</w:t>
      </w:r>
      <w:r w:rsidR="003C04CC">
        <w:rPr>
          <w:rFonts w:ascii="仿宋_GB2312" w:eastAsia="仿宋_GB2312" w:hint="eastAsia"/>
          <w:sz w:val="32"/>
          <w:szCs w:val="32"/>
        </w:rPr>
        <w:t>评查</w:t>
      </w:r>
      <w:r w:rsidR="0014303E">
        <w:rPr>
          <w:rFonts w:ascii="仿宋_GB2312" w:eastAsia="仿宋_GB2312" w:hint="eastAsia"/>
          <w:sz w:val="32"/>
          <w:szCs w:val="32"/>
        </w:rPr>
        <w:t>、组织提交审判委员会讨论</w:t>
      </w:r>
      <w:r w:rsidR="00860EDD">
        <w:rPr>
          <w:rFonts w:ascii="仿宋_GB2312" w:eastAsia="仿宋_GB2312" w:hint="eastAsia"/>
          <w:sz w:val="32"/>
          <w:szCs w:val="32"/>
        </w:rPr>
        <w:t>评查案件</w:t>
      </w:r>
      <w:r w:rsidR="0014303E">
        <w:rPr>
          <w:rFonts w:ascii="仿宋_GB2312" w:eastAsia="仿宋_GB2312" w:hint="eastAsia"/>
          <w:sz w:val="32"/>
          <w:szCs w:val="32"/>
        </w:rPr>
        <w:t>、</w:t>
      </w:r>
      <w:r w:rsidR="002D7BA8">
        <w:rPr>
          <w:rFonts w:ascii="仿宋_GB2312" w:eastAsia="仿宋_GB2312" w:hint="eastAsia"/>
          <w:sz w:val="32"/>
          <w:szCs w:val="32"/>
        </w:rPr>
        <w:t>回</w:t>
      </w:r>
      <w:r w:rsidR="00860EDD">
        <w:rPr>
          <w:rFonts w:ascii="仿宋_GB2312" w:eastAsia="仿宋_GB2312" w:hint="eastAsia"/>
          <w:sz w:val="32"/>
          <w:szCs w:val="32"/>
        </w:rPr>
        <w:t>复</w:t>
      </w:r>
      <w:r w:rsidR="00993DE2">
        <w:rPr>
          <w:rFonts w:ascii="仿宋_GB2312" w:eastAsia="仿宋_GB2312" w:hint="eastAsia"/>
          <w:sz w:val="32"/>
          <w:szCs w:val="32"/>
        </w:rPr>
        <w:t>评查结果等</w:t>
      </w:r>
      <w:r w:rsidR="009B482D">
        <w:rPr>
          <w:rFonts w:ascii="仿宋_GB2312" w:eastAsia="仿宋_GB2312" w:hint="eastAsia"/>
          <w:sz w:val="32"/>
          <w:szCs w:val="32"/>
        </w:rPr>
        <w:t>工作。</w:t>
      </w:r>
    </w:p>
    <w:p w:rsidR="00860EDD" w:rsidRDefault="00847BC0" w:rsidP="00A015B0">
      <w:pPr>
        <w:ind w:firstLine="645"/>
        <w:rPr>
          <w:rFonts w:ascii="仿宋_GB2312" w:eastAsia="仿宋_GB2312"/>
          <w:sz w:val="32"/>
          <w:szCs w:val="32"/>
        </w:rPr>
      </w:pPr>
      <w:r w:rsidRPr="00684D95">
        <w:rPr>
          <w:rFonts w:ascii="仿宋_GB2312" w:eastAsia="仿宋_GB2312" w:hint="eastAsia"/>
          <w:b/>
          <w:sz w:val="32"/>
          <w:szCs w:val="32"/>
        </w:rPr>
        <w:t>第五条</w:t>
      </w:r>
      <w:r w:rsidR="00A2762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2762B">
        <w:rPr>
          <w:rFonts w:ascii="仿宋_GB2312" w:eastAsia="仿宋_GB2312" w:hint="eastAsia"/>
          <w:sz w:val="32"/>
          <w:szCs w:val="32"/>
        </w:rPr>
        <w:t>全市</w:t>
      </w:r>
      <w:r>
        <w:rPr>
          <w:rFonts w:ascii="仿宋_GB2312" w:eastAsia="仿宋_GB2312" w:hint="eastAsia"/>
          <w:sz w:val="32"/>
          <w:szCs w:val="32"/>
        </w:rPr>
        <w:t>法院的审判管理部门应当建立被发回重审、改判和指令再审案件</w:t>
      </w:r>
      <w:r w:rsidR="00DB71BB">
        <w:rPr>
          <w:rFonts w:ascii="仿宋_GB2312" w:eastAsia="仿宋_GB2312" w:hint="eastAsia"/>
          <w:sz w:val="32"/>
          <w:szCs w:val="32"/>
        </w:rPr>
        <w:t>质量评查</w:t>
      </w:r>
      <w:r w:rsidR="003C04CC">
        <w:rPr>
          <w:rFonts w:ascii="仿宋_GB2312" w:eastAsia="仿宋_GB2312" w:hint="eastAsia"/>
          <w:sz w:val="32"/>
          <w:szCs w:val="32"/>
        </w:rPr>
        <w:t>台账</w:t>
      </w:r>
      <w:r>
        <w:rPr>
          <w:rFonts w:ascii="仿宋_GB2312" w:eastAsia="仿宋_GB2312" w:hint="eastAsia"/>
          <w:sz w:val="32"/>
          <w:szCs w:val="32"/>
        </w:rPr>
        <w:t>，</w:t>
      </w:r>
      <w:r w:rsidR="003C04CC">
        <w:rPr>
          <w:rFonts w:ascii="仿宋_GB2312" w:eastAsia="仿宋_GB2312" w:hint="eastAsia"/>
          <w:sz w:val="32"/>
          <w:szCs w:val="32"/>
        </w:rPr>
        <w:t>载明</w:t>
      </w:r>
      <w:r w:rsidR="00684D95">
        <w:rPr>
          <w:rFonts w:ascii="仿宋_GB2312" w:eastAsia="仿宋_GB2312" w:hint="eastAsia"/>
          <w:sz w:val="32"/>
          <w:szCs w:val="32"/>
        </w:rPr>
        <w:t>案件名</w:t>
      </w:r>
      <w:r w:rsidR="00556BF5">
        <w:rPr>
          <w:rFonts w:ascii="仿宋_GB2312" w:eastAsia="仿宋_GB2312" w:hint="eastAsia"/>
          <w:sz w:val="32"/>
          <w:szCs w:val="32"/>
        </w:rPr>
        <w:t>称、案号、案由、案件类型、审理法院、审判程序、文书类型、当事人、</w:t>
      </w:r>
      <w:r w:rsidR="00684D95">
        <w:rPr>
          <w:rFonts w:ascii="仿宋_GB2312" w:eastAsia="仿宋_GB2312" w:hint="eastAsia"/>
          <w:sz w:val="32"/>
          <w:szCs w:val="32"/>
        </w:rPr>
        <w:t>裁判日期</w:t>
      </w:r>
      <w:r w:rsidR="00556BF5">
        <w:rPr>
          <w:rFonts w:ascii="仿宋_GB2312" w:eastAsia="仿宋_GB2312" w:hint="eastAsia"/>
          <w:sz w:val="32"/>
          <w:szCs w:val="32"/>
        </w:rPr>
        <w:t>、是否</w:t>
      </w:r>
      <w:r w:rsidR="00982BF6">
        <w:rPr>
          <w:rFonts w:ascii="仿宋_GB2312" w:eastAsia="仿宋_GB2312" w:hint="eastAsia"/>
          <w:sz w:val="32"/>
          <w:szCs w:val="32"/>
        </w:rPr>
        <w:t>进行</w:t>
      </w:r>
      <w:r w:rsidR="00556BF5">
        <w:rPr>
          <w:rFonts w:ascii="仿宋_GB2312" w:eastAsia="仿宋_GB2312" w:hint="eastAsia"/>
          <w:sz w:val="32"/>
          <w:szCs w:val="32"/>
        </w:rPr>
        <w:t>案件质量</w:t>
      </w:r>
      <w:r w:rsidR="008A4BC1">
        <w:rPr>
          <w:rFonts w:ascii="仿宋_GB2312" w:eastAsia="仿宋_GB2312" w:hint="eastAsia"/>
          <w:sz w:val="32"/>
          <w:szCs w:val="32"/>
        </w:rPr>
        <w:t>双向</w:t>
      </w:r>
      <w:r w:rsidR="00556BF5">
        <w:rPr>
          <w:rFonts w:ascii="仿宋_GB2312" w:eastAsia="仿宋_GB2312" w:hint="eastAsia"/>
          <w:sz w:val="32"/>
          <w:szCs w:val="32"/>
        </w:rPr>
        <w:t>评查、评查时间和评查结</w:t>
      </w:r>
      <w:r w:rsidR="00982BF6">
        <w:rPr>
          <w:rFonts w:ascii="仿宋_GB2312" w:eastAsia="仿宋_GB2312" w:hint="eastAsia"/>
          <w:sz w:val="32"/>
          <w:szCs w:val="32"/>
        </w:rPr>
        <w:lastRenderedPageBreak/>
        <w:t>果</w:t>
      </w:r>
      <w:r w:rsidR="00C05344">
        <w:rPr>
          <w:rFonts w:ascii="仿宋_GB2312" w:eastAsia="仿宋_GB2312" w:hint="eastAsia"/>
          <w:sz w:val="32"/>
          <w:szCs w:val="32"/>
        </w:rPr>
        <w:t>等内容。</w:t>
      </w:r>
    </w:p>
    <w:p w:rsidR="00847BC0" w:rsidRDefault="00C80A5D" w:rsidP="00A015B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各院</w:t>
      </w:r>
      <w:r w:rsidR="0062221C">
        <w:rPr>
          <w:rFonts w:ascii="仿宋_GB2312" w:eastAsia="仿宋_GB2312" w:hint="eastAsia"/>
          <w:sz w:val="32"/>
          <w:szCs w:val="32"/>
        </w:rPr>
        <w:t>的</w:t>
      </w:r>
      <w:r w:rsidR="00860EDD">
        <w:rPr>
          <w:rFonts w:ascii="仿宋_GB2312" w:eastAsia="仿宋_GB2312" w:hint="eastAsia"/>
          <w:sz w:val="32"/>
          <w:szCs w:val="32"/>
        </w:rPr>
        <w:t>发回重审、改判和指令再审</w:t>
      </w:r>
      <w:r w:rsidR="00684D95">
        <w:rPr>
          <w:rFonts w:ascii="仿宋_GB2312" w:eastAsia="仿宋_GB2312" w:hint="eastAsia"/>
          <w:sz w:val="32"/>
          <w:szCs w:val="32"/>
        </w:rPr>
        <w:t>案件</w:t>
      </w:r>
      <w:r w:rsidR="00860EDD">
        <w:rPr>
          <w:rFonts w:ascii="仿宋_GB2312" w:eastAsia="仿宋_GB2312" w:hint="eastAsia"/>
          <w:sz w:val="32"/>
          <w:szCs w:val="32"/>
        </w:rPr>
        <w:t>质量管理</w:t>
      </w:r>
      <w:r w:rsidR="00684D95">
        <w:rPr>
          <w:rFonts w:ascii="仿宋_GB2312" w:eastAsia="仿宋_GB2312" w:hint="eastAsia"/>
          <w:sz w:val="32"/>
          <w:szCs w:val="32"/>
        </w:rPr>
        <w:t>台账应当在</w:t>
      </w:r>
      <w:r w:rsidR="00816491">
        <w:rPr>
          <w:rFonts w:ascii="仿宋_GB2312" w:eastAsia="仿宋_GB2312" w:hint="eastAsia"/>
          <w:sz w:val="32"/>
          <w:szCs w:val="32"/>
        </w:rPr>
        <w:t>本院</w:t>
      </w:r>
      <w:r w:rsidR="005825B4">
        <w:rPr>
          <w:rFonts w:ascii="仿宋_GB2312" w:eastAsia="仿宋_GB2312" w:hint="eastAsia"/>
          <w:sz w:val="32"/>
          <w:szCs w:val="32"/>
        </w:rPr>
        <w:t>内网平台</w:t>
      </w:r>
      <w:r w:rsidR="00611089">
        <w:rPr>
          <w:rFonts w:ascii="仿宋_GB2312" w:eastAsia="仿宋_GB2312" w:hint="eastAsia"/>
          <w:sz w:val="32"/>
          <w:szCs w:val="32"/>
        </w:rPr>
        <w:t>每</w:t>
      </w:r>
      <w:r w:rsidR="005825B4">
        <w:rPr>
          <w:rFonts w:ascii="仿宋_GB2312" w:eastAsia="仿宋_GB2312" w:hint="eastAsia"/>
          <w:sz w:val="32"/>
          <w:szCs w:val="32"/>
        </w:rPr>
        <w:t>月度</w:t>
      </w:r>
      <w:r w:rsidR="00611089">
        <w:rPr>
          <w:rFonts w:ascii="仿宋_GB2312" w:eastAsia="仿宋_GB2312" w:hint="eastAsia"/>
          <w:sz w:val="32"/>
          <w:szCs w:val="32"/>
        </w:rPr>
        <w:t>进行</w:t>
      </w:r>
      <w:r w:rsidR="00556BF5">
        <w:rPr>
          <w:rFonts w:ascii="仿宋_GB2312" w:eastAsia="仿宋_GB2312" w:hint="eastAsia"/>
          <w:sz w:val="32"/>
          <w:szCs w:val="32"/>
        </w:rPr>
        <w:t>公布</w:t>
      </w:r>
      <w:r w:rsidR="00A015B0">
        <w:rPr>
          <w:rFonts w:ascii="仿宋_GB2312" w:eastAsia="仿宋_GB2312" w:hint="eastAsia"/>
          <w:sz w:val="32"/>
          <w:szCs w:val="32"/>
        </w:rPr>
        <w:t>。</w:t>
      </w:r>
    </w:p>
    <w:p w:rsidR="000E2FDB" w:rsidRDefault="000E2FDB" w:rsidP="00A85429">
      <w:pPr>
        <w:ind w:firstLine="645"/>
        <w:rPr>
          <w:rFonts w:ascii="仿宋_GB2312" w:eastAsia="仿宋_GB2312" w:hAnsi="宋体" w:cs="宋体"/>
          <w:sz w:val="32"/>
          <w:szCs w:val="32"/>
        </w:rPr>
      </w:pPr>
      <w:r w:rsidRPr="006F0E3D">
        <w:rPr>
          <w:rFonts w:ascii="仿宋_GB2312" w:eastAsia="仿宋_GB2312" w:hint="eastAsia"/>
          <w:b/>
          <w:sz w:val="32"/>
          <w:szCs w:val="32"/>
        </w:rPr>
        <w:t>第</w:t>
      </w:r>
      <w:r w:rsidR="000347C5">
        <w:rPr>
          <w:rFonts w:ascii="仿宋_GB2312" w:eastAsia="仿宋_GB2312" w:hint="eastAsia"/>
          <w:b/>
          <w:sz w:val="32"/>
          <w:szCs w:val="32"/>
        </w:rPr>
        <w:t>六</w:t>
      </w:r>
      <w:r w:rsidRPr="006F0E3D">
        <w:rPr>
          <w:rFonts w:ascii="仿宋_GB2312" w:eastAsia="仿宋_GB2312" w:hint="eastAsia"/>
          <w:b/>
          <w:sz w:val="32"/>
          <w:szCs w:val="32"/>
        </w:rPr>
        <w:t>条</w:t>
      </w:r>
      <w:r w:rsidR="00A2762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E0930">
        <w:rPr>
          <w:rFonts w:ascii="仿宋_GB2312" w:eastAsia="仿宋_GB2312" w:hint="eastAsia"/>
          <w:sz w:val="32"/>
          <w:szCs w:val="32"/>
        </w:rPr>
        <w:t>发回重审、改判和指令再审案件应</w:t>
      </w:r>
      <w:r w:rsidR="00816491">
        <w:rPr>
          <w:rFonts w:ascii="仿宋_GB2312" w:eastAsia="仿宋_GB2312" w:hint="eastAsia"/>
          <w:sz w:val="32"/>
          <w:szCs w:val="32"/>
        </w:rPr>
        <w:t>当</w:t>
      </w:r>
      <w:r w:rsidR="00AE0930">
        <w:rPr>
          <w:rFonts w:ascii="仿宋_GB2312" w:eastAsia="仿宋_GB2312" w:hint="eastAsia"/>
          <w:sz w:val="32"/>
          <w:szCs w:val="32"/>
        </w:rPr>
        <w:t>于重审(再审、指令</w:t>
      </w:r>
      <w:r w:rsidR="00AE0930">
        <w:rPr>
          <w:rFonts w:ascii="仿宋_GB2312" w:eastAsia="仿宋_GB2312" w:hAnsi="宋体" w:cs="宋体" w:hint="eastAsia"/>
          <w:sz w:val="32"/>
          <w:szCs w:val="32"/>
        </w:rPr>
        <w:t>审理)结案</w:t>
      </w:r>
      <w:r w:rsidR="00DB1613">
        <w:rPr>
          <w:rFonts w:ascii="仿宋_GB2312" w:eastAsia="仿宋_GB2312" w:hAnsi="宋体" w:cs="宋体" w:hint="eastAsia"/>
          <w:sz w:val="32"/>
          <w:szCs w:val="32"/>
        </w:rPr>
        <w:t>、发生法律效力且</w:t>
      </w:r>
      <w:r w:rsidR="00F017BC">
        <w:rPr>
          <w:rFonts w:ascii="仿宋_GB2312" w:eastAsia="仿宋_GB2312" w:hAnsi="宋体" w:cs="宋体" w:hint="eastAsia"/>
          <w:sz w:val="32"/>
          <w:szCs w:val="32"/>
        </w:rPr>
        <w:t>收到退回</w:t>
      </w:r>
      <w:r w:rsidR="00AE0930">
        <w:rPr>
          <w:rFonts w:ascii="仿宋_GB2312" w:eastAsia="仿宋_GB2312" w:hAnsi="宋体" w:cs="宋体" w:hint="eastAsia"/>
          <w:sz w:val="32"/>
          <w:szCs w:val="32"/>
        </w:rPr>
        <w:t>卷</w:t>
      </w:r>
      <w:r w:rsidR="00F017BC">
        <w:rPr>
          <w:rFonts w:ascii="仿宋_GB2312" w:eastAsia="仿宋_GB2312" w:hAnsi="宋体" w:cs="宋体" w:hint="eastAsia"/>
          <w:sz w:val="32"/>
          <w:szCs w:val="32"/>
        </w:rPr>
        <w:t>宗</w:t>
      </w:r>
      <w:r w:rsidR="00AE0930">
        <w:rPr>
          <w:rFonts w:ascii="仿宋_GB2312" w:eastAsia="仿宋_GB2312" w:hAnsi="宋体" w:cs="宋体" w:hint="eastAsia"/>
          <w:sz w:val="32"/>
          <w:szCs w:val="32"/>
        </w:rPr>
        <w:t>后</w:t>
      </w:r>
      <w:r w:rsidR="00E8143A">
        <w:rPr>
          <w:rFonts w:ascii="仿宋_GB2312" w:eastAsia="仿宋_GB2312" w:hAnsi="宋体" w:cs="宋体" w:hint="eastAsia"/>
          <w:sz w:val="32"/>
          <w:szCs w:val="32"/>
        </w:rPr>
        <w:t>，</w:t>
      </w:r>
      <w:r w:rsidR="00AE0930">
        <w:rPr>
          <w:rFonts w:ascii="仿宋_GB2312" w:eastAsia="仿宋_GB2312" w:hAnsi="宋体" w:cs="宋体" w:hint="eastAsia"/>
          <w:sz w:val="32"/>
          <w:szCs w:val="32"/>
        </w:rPr>
        <w:t>立即启动</w:t>
      </w:r>
      <w:r w:rsidR="00F017BC">
        <w:rPr>
          <w:rFonts w:ascii="仿宋_GB2312" w:eastAsia="仿宋_GB2312" w:hAnsi="宋体" w:cs="宋体" w:hint="eastAsia"/>
          <w:sz w:val="32"/>
          <w:szCs w:val="32"/>
        </w:rPr>
        <w:t>案件质量</w:t>
      </w:r>
      <w:r w:rsidR="00AE0930">
        <w:rPr>
          <w:rFonts w:ascii="仿宋_GB2312" w:eastAsia="仿宋_GB2312" w:hAnsi="宋体" w:cs="宋体" w:hint="eastAsia"/>
          <w:sz w:val="32"/>
          <w:szCs w:val="32"/>
        </w:rPr>
        <w:t>评查程序。</w:t>
      </w:r>
    </w:p>
    <w:p w:rsidR="000347C5" w:rsidRDefault="00962FC9" w:rsidP="000347C5">
      <w:pPr>
        <w:ind w:firstLine="645"/>
        <w:rPr>
          <w:rFonts w:ascii="仿宋_GB2312" w:eastAsia="仿宋_GB2312" w:hAnsi="宋体" w:cs="宋体"/>
          <w:sz w:val="32"/>
          <w:szCs w:val="32"/>
        </w:rPr>
      </w:pPr>
      <w:r w:rsidRPr="00962FC9"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 w:rsidR="000347C5">
        <w:rPr>
          <w:rFonts w:ascii="仿宋_GB2312" w:eastAsia="仿宋_GB2312" w:hAnsi="宋体" w:cs="宋体" w:hint="eastAsia"/>
          <w:b/>
          <w:sz w:val="32"/>
          <w:szCs w:val="32"/>
        </w:rPr>
        <w:t>七</w:t>
      </w:r>
      <w:r w:rsidRPr="00962FC9">
        <w:rPr>
          <w:rFonts w:ascii="仿宋_GB2312" w:eastAsia="仿宋_GB2312" w:hAnsi="宋体" w:cs="宋体" w:hint="eastAsia"/>
          <w:b/>
          <w:sz w:val="32"/>
          <w:szCs w:val="32"/>
        </w:rPr>
        <w:t xml:space="preserve">条 </w:t>
      </w:r>
      <w:r w:rsidR="00BA39FB">
        <w:rPr>
          <w:rFonts w:ascii="仿宋_GB2312" w:eastAsia="仿宋_GB2312" w:hAnsi="宋体" w:cs="宋体" w:hint="eastAsia"/>
          <w:sz w:val="32"/>
          <w:szCs w:val="32"/>
        </w:rPr>
        <w:t>对于二审、再审(再审审查)审理(审查)后发回重审、改判和指令再审的案件，由</w:t>
      </w:r>
      <w:r w:rsidR="00800051">
        <w:rPr>
          <w:rFonts w:ascii="仿宋_GB2312" w:eastAsia="仿宋_GB2312" w:hAnsi="宋体" w:cs="宋体" w:hint="eastAsia"/>
          <w:sz w:val="32"/>
          <w:szCs w:val="32"/>
        </w:rPr>
        <w:t>二审、再审(再审审查)的</w:t>
      </w:r>
      <w:r w:rsidR="00BA39FB">
        <w:rPr>
          <w:rFonts w:ascii="仿宋_GB2312" w:eastAsia="仿宋_GB2312" w:hAnsi="宋体" w:cs="宋体" w:hint="eastAsia"/>
          <w:sz w:val="32"/>
          <w:szCs w:val="32"/>
        </w:rPr>
        <w:t>案件承办人对发回重审、改判和指令再审的案件</w:t>
      </w:r>
      <w:r w:rsidR="000347C5">
        <w:rPr>
          <w:rFonts w:ascii="仿宋_GB2312" w:eastAsia="仿宋_GB2312" w:hAnsi="宋体" w:cs="宋体" w:hint="eastAsia"/>
          <w:sz w:val="32"/>
          <w:szCs w:val="32"/>
        </w:rPr>
        <w:t>进行评查，</w:t>
      </w:r>
      <w:r w:rsidR="00BA39FB">
        <w:rPr>
          <w:rFonts w:ascii="仿宋_GB2312" w:eastAsia="仿宋_GB2312" w:hAnsi="宋体" w:cs="宋体" w:hint="eastAsia"/>
          <w:sz w:val="32"/>
          <w:szCs w:val="32"/>
        </w:rPr>
        <w:t>并将</w:t>
      </w:r>
      <w:r w:rsidR="00800051">
        <w:rPr>
          <w:rFonts w:ascii="仿宋_GB2312" w:eastAsia="仿宋_GB2312" w:hAnsi="宋体" w:cs="宋体" w:hint="eastAsia"/>
          <w:sz w:val="32"/>
          <w:szCs w:val="32"/>
        </w:rPr>
        <w:t>案件质量</w:t>
      </w:r>
      <w:r w:rsidR="000347C5">
        <w:rPr>
          <w:rFonts w:ascii="仿宋_GB2312" w:eastAsia="仿宋_GB2312" w:hAnsi="宋体" w:cs="宋体" w:hint="eastAsia"/>
          <w:sz w:val="32"/>
          <w:szCs w:val="32"/>
        </w:rPr>
        <w:t>评查情况随同原审卷宗下发原审法院。</w:t>
      </w:r>
    </w:p>
    <w:p w:rsidR="0063683A" w:rsidRDefault="0063683A" w:rsidP="0063683A">
      <w:pPr>
        <w:ind w:firstLine="645"/>
        <w:rPr>
          <w:rFonts w:ascii="仿宋_GB2312" w:eastAsia="仿宋_GB2312" w:hAnsi="宋体" w:cs="宋体"/>
          <w:sz w:val="32"/>
          <w:szCs w:val="32"/>
        </w:rPr>
      </w:pPr>
      <w:r w:rsidRPr="0063683A"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 w:rsidR="000347C5">
        <w:rPr>
          <w:rFonts w:ascii="仿宋_GB2312" w:eastAsia="仿宋_GB2312" w:hAnsi="宋体" w:cs="宋体" w:hint="eastAsia"/>
          <w:b/>
          <w:sz w:val="32"/>
          <w:szCs w:val="32"/>
        </w:rPr>
        <w:t>八</w:t>
      </w:r>
      <w:r w:rsidRPr="0063683A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="00A10C0E"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评查人员承办的评查案件应当折算案件数量，计入评查人员年度审判绩效考核工作的办案数量。</w:t>
      </w:r>
    </w:p>
    <w:p w:rsidR="009D3EF2" w:rsidRDefault="0063683A" w:rsidP="00A85429">
      <w:pPr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 w:rsidR="000347C5">
        <w:rPr>
          <w:rFonts w:ascii="仿宋_GB2312" w:eastAsia="仿宋_GB2312" w:hAnsi="宋体" w:cs="宋体" w:hint="eastAsia"/>
          <w:b/>
          <w:sz w:val="32"/>
          <w:szCs w:val="32"/>
        </w:rPr>
        <w:t>九</w:t>
      </w:r>
      <w:r w:rsidR="00F017BC" w:rsidRPr="00F017BC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="00C3480A"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 w:rsidR="009D3EF2">
        <w:rPr>
          <w:rFonts w:ascii="仿宋_GB2312" w:eastAsia="仿宋_GB2312" w:hAnsi="宋体" w:cs="宋体" w:hint="eastAsia"/>
          <w:sz w:val="32"/>
          <w:szCs w:val="32"/>
        </w:rPr>
        <w:t>案件质量评查工作应当依据《</w:t>
      </w:r>
      <w:r w:rsidR="00A10C0E">
        <w:rPr>
          <w:rFonts w:ascii="仿宋_GB2312" w:eastAsia="仿宋_GB2312" w:hAnsi="宋体" w:cs="宋体" w:hint="eastAsia"/>
          <w:sz w:val="32"/>
          <w:szCs w:val="32"/>
        </w:rPr>
        <w:t>吉林省高院</w:t>
      </w:r>
      <w:r w:rsidR="00A2762B">
        <w:rPr>
          <w:rFonts w:ascii="仿宋_GB2312" w:eastAsia="仿宋_GB2312" w:hAnsi="宋体" w:cs="宋体" w:hint="eastAsia"/>
          <w:sz w:val="32"/>
          <w:szCs w:val="32"/>
        </w:rPr>
        <w:t>人民法院</w:t>
      </w:r>
      <w:r w:rsidR="009D3EF2">
        <w:rPr>
          <w:rFonts w:ascii="仿宋_GB2312" w:eastAsia="仿宋_GB2312" w:hAnsi="宋体" w:cs="宋体" w:hint="eastAsia"/>
          <w:sz w:val="32"/>
          <w:szCs w:val="32"/>
        </w:rPr>
        <w:t>案件质量评查办法(试行)》</w:t>
      </w:r>
      <w:r w:rsidR="00D0655B">
        <w:rPr>
          <w:rFonts w:ascii="仿宋_GB2312" w:eastAsia="仿宋_GB2312" w:hAnsi="宋体" w:cs="宋体" w:hint="eastAsia"/>
          <w:sz w:val="32"/>
          <w:szCs w:val="32"/>
        </w:rPr>
        <w:t>(吉高法〔2017〕99号)和</w:t>
      </w:r>
      <w:r w:rsidR="002F3E60">
        <w:rPr>
          <w:rFonts w:ascii="仿宋_GB2312" w:eastAsia="仿宋_GB2312" w:hAnsi="宋体" w:cs="宋体" w:hint="eastAsia"/>
          <w:sz w:val="32"/>
          <w:szCs w:val="32"/>
        </w:rPr>
        <w:t>《长春市中级人民法院案件质量监督管理及责任追究暂行办法（试行）》</w:t>
      </w:r>
      <w:r w:rsidR="005A1787">
        <w:rPr>
          <w:rFonts w:ascii="仿宋_GB2312" w:eastAsia="仿宋_GB2312" w:hAnsi="宋体" w:cs="宋体" w:hint="eastAsia"/>
          <w:sz w:val="32"/>
          <w:szCs w:val="32"/>
        </w:rPr>
        <w:t>执行</w:t>
      </w:r>
      <w:r w:rsidR="009D3EF2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B1613" w:rsidRDefault="00F017BC" w:rsidP="00A8542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C266AE" w:rsidRPr="0077000F">
        <w:rPr>
          <w:rFonts w:ascii="仿宋_GB2312" w:eastAsia="仿宋_GB2312" w:hint="eastAsia"/>
          <w:b/>
          <w:sz w:val="32"/>
          <w:szCs w:val="32"/>
        </w:rPr>
        <w:t>条</w:t>
      </w:r>
      <w:r w:rsidR="00A10C0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10C0E">
        <w:rPr>
          <w:rFonts w:ascii="仿宋_GB2312" w:eastAsia="仿宋_GB2312" w:hint="eastAsia"/>
          <w:sz w:val="32"/>
          <w:szCs w:val="32"/>
        </w:rPr>
        <w:t>各基层</w:t>
      </w:r>
      <w:r w:rsidR="00443CE4">
        <w:rPr>
          <w:rFonts w:ascii="仿宋_GB2312" w:eastAsia="仿宋_GB2312" w:hint="eastAsia"/>
          <w:sz w:val="32"/>
          <w:szCs w:val="32"/>
        </w:rPr>
        <w:t>法院的</w:t>
      </w:r>
      <w:r w:rsidR="00DA27B2">
        <w:rPr>
          <w:rFonts w:ascii="仿宋_GB2312" w:eastAsia="仿宋_GB2312" w:hint="eastAsia"/>
          <w:sz w:val="32"/>
          <w:szCs w:val="32"/>
        </w:rPr>
        <w:t>评查案件经本院审判委员会讨论后，</w:t>
      </w:r>
      <w:r w:rsidR="004B39C1">
        <w:rPr>
          <w:rFonts w:ascii="仿宋_GB2312" w:eastAsia="仿宋_GB2312" w:hint="eastAsia"/>
          <w:sz w:val="32"/>
          <w:szCs w:val="32"/>
        </w:rPr>
        <w:t>如</w:t>
      </w:r>
      <w:r w:rsidR="00546902">
        <w:rPr>
          <w:rFonts w:ascii="仿宋_GB2312" w:eastAsia="仿宋_GB2312" w:hint="eastAsia"/>
          <w:sz w:val="32"/>
          <w:szCs w:val="32"/>
        </w:rPr>
        <w:t>是</w:t>
      </w:r>
      <w:r w:rsidR="004B39C1">
        <w:rPr>
          <w:rFonts w:ascii="仿宋_GB2312" w:eastAsia="仿宋_GB2312" w:hint="eastAsia"/>
          <w:sz w:val="32"/>
          <w:szCs w:val="32"/>
        </w:rPr>
        <w:t>对</w:t>
      </w:r>
      <w:r w:rsidR="00A10C0E">
        <w:rPr>
          <w:rFonts w:ascii="仿宋_GB2312" w:eastAsia="仿宋_GB2312" w:hint="eastAsia"/>
          <w:sz w:val="32"/>
          <w:szCs w:val="32"/>
        </w:rPr>
        <w:t>中院</w:t>
      </w:r>
      <w:r w:rsidR="004B39C1">
        <w:rPr>
          <w:rFonts w:ascii="仿宋_GB2312" w:eastAsia="仿宋_GB2312" w:hint="eastAsia"/>
          <w:sz w:val="32"/>
          <w:szCs w:val="32"/>
        </w:rPr>
        <w:t>发回重审、改判的理由和法律依据</w:t>
      </w:r>
      <w:r w:rsidR="006C4BA5">
        <w:rPr>
          <w:rFonts w:ascii="仿宋_GB2312" w:eastAsia="仿宋_GB2312" w:hint="eastAsia"/>
          <w:sz w:val="32"/>
          <w:szCs w:val="32"/>
        </w:rPr>
        <w:t>存在异议，由本院审判管理部门</w:t>
      </w:r>
      <w:r w:rsidR="004B39C1">
        <w:rPr>
          <w:rFonts w:ascii="仿宋_GB2312" w:eastAsia="仿宋_GB2312" w:hint="eastAsia"/>
          <w:sz w:val="32"/>
          <w:szCs w:val="32"/>
        </w:rPr>
        <w:t>将案件</w:t>
      </w:r>
      <w:r w:rsidR="00E8143A">
        <w:rPr>
          <w:rFonts w:ascii="仿宋_GB2312" w:eastAsia="仿宋_GB2312" w:hint="eastAsia"/>
          <w:sz w:val="32"/>
          <w:szCs w:val="32"/>
        </w:rPr>
        <w:t>质量</w:t>
      </w:r>
      <w:r w:rsidR="006C4BA5">
        <w:rPr>
          <w:rFonts w:ascii="仿宋_GB2312" w:eastAsia="仿宋_GB2312" w:hint="eastAsia"/>
          <w:sz w:val="32"/>
          <w:szCs w:val="32"/>
        </w:rPr>
        <w:t>双向评查申请</w:t>
      </w:r>
      <w:r w:rsidR="00A47FAB">
        <w:rPr>
          <w:rFonts w:ascii="仿宋_GB2312" w:eastAsia="仿宋_GB2312" w:hint="eastAsia"/>
          <w:sz w:val="32"/>
          <w:szCs w:val="32"/>
        </w:rPr>
        <w:t>、评查报告</w:t>
      </w:r>
      <w:r w:rsidR="00E8143A">
        <w:rPr>
          <w:rFonts w:ascii="仿宋_GB2312" w:eastAsia="仿宋_GB2312" w:hint="eastAsia"/>
          <w:sz w:val="32"/>
          <w:szCs w:val="32"/>
        </w:rPr>
        <w:t>、</w:t>
      </w:r>
      <w:r w:rsidR="00443CE4">
        <w:rPr>
          <w:rFonts w:ascii="仿宋_GB2312" w:eastAsia="仿宋_GB2312" w:hint="eastAsia"/>
          <w:sz w:val="32"/>
          <w:szCs w:val="32"/>
        </w:rPr>
        <w:t>本院审判委员会讨论决定</w:t>
      </w:r>
      <w:r w:rsidR="00F37EC9">
        <w:rPr>
          <w:rFonts w:ascii="仿宋_GB2312" w:eastAsia="仿宋_GB2312" w:hint="eastAsia"/>
          <w:sz w:val="32"/>
          <w:szCs w:val="32"/>
        </w:rPr>
        <w:t>和案件卷宗</w:t>
      </w:r>
      <w:r w:rsidR="0082092E">
        <w:rPr>
          <w:rFonts w:ascii="仿宋_GB2312" w:eastAsia="仿宋_GB2312" w:hint="eastAsia"/>
          <w:sz w:val="32"/>
          <w:szCs w:val="32"/>
        </w:rPr>
        <w:t>等材料</w:t>
      </w:r>
      <w:r w:rsidR="004B39C1">
        <w:rPr>
          <w:rFonts w:ascii="仿宋_GB2312" w:eastAsia="仿宋_GB2312" w:hint="eastAsia"/>
          <w:sz w:val="32"/>
          <w:szCs w:val="32"/>
        </w:rPr>
        <w:t>提交</w:t>
      </w:r>
      <w:r w:rsidR="00A10C0E">
        <w:rPr>
          <w:rFonts w:ascii="仿宋_GB2312" w:eastAsia="仿宋_GB2312" w:hint="eastAsia"/>
          <w:sz w:val="32"/>
          <w:szCs w:val="32"/>
        </w:rPr>
        <w:t>中</w:t>
      </w:r>
      <w:r w:rsidR="004B39C1">
        <w:rPr>
          <w:rFonts w:ascii="仿宋_GB2312" w:eastAsia="仿宋_GB2312" w:hint="eastAsia"/>
          <w:sz w:val="32"/>
          <w:szCs w:val="32"/>
        </w:rPr>
        <w:t>院</w:t>
      </w:r>
      <w:r w:rsidR="00DB1613">
        <w:rPr>
          <w:rFonts w:ascii="仿宋_GB2312" w:eastAsia="仿宋_GB2312" w:hint="eastAsia"/>
          <w:sz w:val="32"/>
          <w:szCs w:val="32"/>
        </w:rPr>
        <w:t>审判管理部门。</w:t>
      </w:r>
    </w:p>
    <w:p w:rsidR="00C266AE" w:rsidRDefault="00A10C0E" w:rsidP="00A8542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中院</w:t>
      </w:r>
      <w:r w:rsidR="00A34004">
        <w:rPr>
          <w:rFonts w:ascii="仿宋_GB2312" w:eastAsia="仿宋_GB2312" w:hint="eastAsia"/>
          <w:sz w:val="32"/>
          <w:szCs w:val="32"/>
        </w:rPr>
        <w:t>审判管理</w:t>
      </w:r>
      <w:r w:rsidR="00BD0698">
        <w:rPr>
          <w:rFonts w:ascii="仿宋_GB2312" w:eastAsia="仿宋_GB2312" w:hint="eastAsia"/>
          <w:sz w:val="32"/>
          <w:szCs w:val="32"/>
        </w:rPr>
        <w:t>部门在</w:t>
      </w:r>
      <w:r w:rsidR="00A34004">
        <w:rPr>
          <w:rFonts w:ascii="仿宋_GB2312" w:eastAsia="仿宋_GB2312" w:hint="eastAsia"/>
          <w:sz w:val="32"/>
          <w:szCs w:val="32"/>
        </w:rPr>
        <w:t>收到上述材料</w:t>
      </w:r>
      <w:r w:rsidR="002D2767">
        <w:rPr>
          <w:rFonts w:ascii="仿宋_GB2312" w:eastAsia="仿宋_GB2312" w:hint="eastAsia"/>
          <w:sz w:val="32"/>
          <w:szCs w:val="32"/>
        </w:rPr>
        <w:t>之日起登记</w:t>
      </w:r>
      <w:r w:rsidR="00DB1613">
        <w:rPr>
          <w:rFonts w:ascii="仿宋_GB2312" w:eastAsia="仿宋_GB2312" w:hint="eastAsia"/>
          <w:sz w:val="32"/>
          <w:szCs w:val="32"/>
        </w:rPr>
        <w:t>、</w:t>
      </w:r>
      <w:r w:rsidR="00546902">
        <w:rPr>
          <w:rFonts w:ascii="仿宋_GB2312" w:eastAsia="仿宋_GB2312" w:hint="eastAsia"/>
          <w:sz w:val="32"/>
          <w:szCs w:val="32"/>
        </w:rPr>
        <w:t>备案，</w:t>
      </w:r>
      <w:r w:rsidR="00546902">
        <w:rPr>
          <w:rFonts w:ascii="仿宋_GB2312" w:eastAsia="仿宋_GB2312" w:hint="eastAsia"/>
          <w:sz w:val="32"/>
          <w:szCs w:val="32"/>
        </w:rPr>
        <w:lastRenderedPageBreak/>
        <w:t>并</w:t>
      </w:r>
      <w:r w:rsidR="00BD0698">
        <w:rPr>
          <w:rFonts w:ascii="仿宋_GB2312" w:eastAsia="仿宋_GB2312" w:hint="eastAsia"/>
          <w:sz w:val="32"/>
          <w:szCs w:val="32"/>
        </w:rPr>
        <w:t>于</w:t>
      </w:r>
      <w:r w:rsidR="00A34004">
        <w:rPr>
          <w:rFonts w:ascii="仿宋_GB2312" w:eastAsia="仿宋_GB2312" w:hint="eastAsia"/>
          <w:sz w:val="32"/>
          <w:szCs w:val="32"/>
        </w:rPr>
        <w:t>5日内衔接本院立案庭将评查案件分配至案件质量评查人员名下</w:t>
      </w:r>
      <w:r w:rsidR="000347C5">
        <w:rPr>
          <w:rFonts w:ascii="仿宋_GB2312" w:eastAsia="仿宋_GB2312" w:hint="eastAsia"/>
          <w:sz w:val="32"/>
          <w:szCs w:val="32"/>
        </w:rPr>
        <w:t>。</w:t>
      </w:r>
      <w:r w:rsidR="00A34004">
        <w:rPr>
          <w:rFonts w:ascii="仿宋_GB2312" w:eastAsia="仿宋_GB2312" w:hint="eastAsia"/>
          <w:sz w:val="32"/>
          <w:szCs w:val="32"/>
        </w:rPr>
        <w:t>案件质量评查人员应当于收案之日起</w:t>
      </w:r>
      <w:r w:rsidR="0082092E">
        <w:rPr>
          <w:rFonts w:ascii="仿宋_GB2312" w:eastAsia="仿宋_GB2312" w:hint="eastAsia"/>
          <w:sz w:val="32"/>
          <w:szCs w:val="32"/>
        </w:rPr>
        <w:t>3</w:t>
      </w:r>
      <w:r w:rsidR="00A34004">
        <w:rPr>
          <w:rFonts w:ascii="仿宋_GB2312" w:eastAsia="仿宋_GB2312" w:hint="eastAsia"/>
          <w:sz w:val="32"/>
          <w:szCs w:val="32"/>
        </w:rPr>
        <w:t>0日内完成案件质量评查工作</w:t>
      </w:r>
      <w:r w:rsidR="004B39C1">
        <w:rPr>
          <w:rFonts w:ascii="仿宋_GB2312" w:eastAsia="仿宋_GB2312" w:hint="eastAsia"/>
          <w:sz w:val="32"/>
          <w:szCs w:val="32"/>
        </w:rPr>
        <w:t>，</w:t>
      </w:r>
      <w:r w:rsidR="00A34004">
        <w:rPr>
          <w:rFonts w:ascii="仿宋_GB2312" w:eastAsia="仿宋_GB2312" w:hint="eastAsia"/>
          <w:sz w:val="32"/>
          <w:szCs w:val="32"/>
        </w:rPr>
        <w:t>撰写案件质量评查报告，</w:t>
      </w:r>
      <w:r w:rsidR="00C2134E">
        <w:rPr>
          <w:rFonts w:ascii="仿宋_GB2312" w:eastAsia="仿宋_GB2312" w:hint="eastAsia"/>
          <w:sz w:val="32"/>
          <w:szCs w:val="32"/>
        </w:rPr>
        <w:t>提交</w:t>
      </w:r>
      <w:r w:rsidR="00A34004">
        <w:rPr>
          <w:rFonts w:ascii="仿宋_GB2312" w:eastAsia="仿宋_GB2312" w:hint="eastAsia"/>
          <w:sz w:val="32"/>
          <w:szCs w:val="32"/>
        </w:rPr>
        <w:t>审判委员会讨论决定</w:t>
      </w:r>
      <w:r w:rsidR="004B39C1">
        <w:rPr>
          <w:rFonts w:ascii="仿宋_GB2312" w:eastAsia="仿宋_GB2312" w:hint="eastAsia"/>
          <w:sz w:val="32"/>
          <w:szCs w:val="32"/>
        </w:rPr>
        <w:t>。</w:t>
      </w:r>
    </w:p>
    <w:p w:rsidR="005936D2" w:rsidRPr="00032881" w:rsidRDefault="005936D2" w:rsidP="00A85429">
      <w:pPr>
        <w:ind w:firstLine="645"/>
        <w:rPr>
          <w:rFonts w:ascii="仿宋_GB2312" w:eastAsia="仿宋_GB2312"/>
          <w:sz w:val="32"/>
          <w:szCs w:val="32"/>
        </w:rPr>
      </w:pPr>
      <w:r w:rsidRPr="0077000F">
        <w:rPr>
          <w:rFonts w:ascii="仿宋_GB2312" w:eastAsia="仿宋_GB2312" w:hint="eastAsia"/>
          <w:b/>
          <w:sz w:val="32"/>
          <w:szCs w:val="32"/>
        </w:rPr>
        <w:t>第</w:t>
      </w:r>
      <w:r w:rsidR="0057177E">
        <w:rPr>
          <w:rFonts w:ascii="仿宋_GB2312" w:eastAsia="仿宋_GB2312" w:hint="eastAsia"/>
          <w:b/>
          <w:sz w:val="32"/>
          <w:szCs w:val="32"/>
        </w:rPr>
        <w:t>十</w:t>
      </w:r>
      <w:r w:rsidR="000347C5">
        <w:rPr>
          <w:rFonts w:ascii="仿宋_GB2312" w:eastAsia="仿宋_GB2312" w:hint="eastAsia"/>
          <w:b/>
          <w:sz w:val="32"/>
          <w:szCs w:val="32"/>
        </w:rPr>
        <w:t>一</w:t>
      </w:r>
      <w:r w:rsidRPr="0077000F">
        <w:rPr>
          <w:rFonts w:ascii="仿宋_GB2312" w:eastAsia="仿宋_GB2312" w:hint="eastAsia"/>
          <w:b/>
          <w:sz w:val="32"/>
          <w:szCs w:val="32"/>
        </w:rPr>
        <w:t>条</w:t>
      </w:r>
      <w:r w:rsidR="00A10C0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276E43" w:rsidRPr="00276E43">
        <w:rPr>
          <w:rFonts w:ascii="仿宋_GB2312" w:eastAsia="仿宋_GB2312" w:hint="eastAsia"/>
          <w:sz w:val="32"/>
          <w:szCs w:val="32"/>
        </w:rPr>
        <w:t>案件</w:t>
      </w:r>
      <w:r w:rsidR="00276E43">
        <w:rPr>
          <w:rFonts w:ascii="仿宋_GB2312" w:eastAsia="仿宋_GB2312" w:hint="eastAsia"/>
          <w:sz w:val="32"/>
          <w:szCs w:val="32"/>
        </w:rPr>
        <w:t>质量评查</w:t>
      </w:r>
      <w:r w:rsidR="00C74372">
        <w:rPr>
          <w:rFonts w:ascii="仿宋_GB2312" w:eastAsia="仿宋_GB2312" w:hint="eastAsia"/>
          <w:sz w:val="32"/>
          <w:szCs w:val="32"/>
        </w:rPr>
        <w:t>报告</w:t>
      </w:r>
      <w:r w:rsidR="008841E0">
        <w:rPr>
          <w:rFonts w:ascii="仿宋_GB2312" w:eastAsia="仿宋_GB2312" w:hint="eastAsia"/>
          <w:sz w:val="32"/>
          <w:szCs w:val="32"/>
        </w:rPr>
        <w:t>应当包括案件的由来及审理经过、本院裁判理由及结果、</w:t>
      </w:r>
      <w:r w:rsidR="00A34ED3">
        <w:rPr>
          <w:rFonts w:ascii="仿宋_GB2312" w:eastAsia="仿宋_GB2312" w:hint="eastAsia"/>
          <w:sz w:val="32"/>
          <w:szCs w:val="32"/>
        </w:rPr>
        <w:t>中</w:t>
      </w:r>
      <w:r w:rsidR="008841E0">
        <w:rPr>
          <w:rFonts w:ascii="仿宋_GB2312" w:eastAsia="仿宋_GB2312" w:hint="eastAsia"/>
          <w:sz w:val="32"/>
          <w:szCs w:val="32"/>
        </w:rPr>
        <w:t>院二审、</w:t>
      </w:r>
      <w:r w:rsidR="00C74372">
        <w:rPr>
          <w:rFonts w:ascii="仿宋_GB2312" w:eastAsia="仿宋_GB2312" w:hint="eastAsia"/>
          <w:sz w:val="32"/>
          <w:szCs w:val="32"/>
        </w:rPr>
        <w:t>再审</w:t>
      </w:r>
      <w:r w:rsidR="008841E0">
        <w:rPr>
          <w:rFonts w:ascii="仿宋_GB2312" w:eastAsia="仿宋_GB2312" w:hint="eastAsia"/>
          <w:sz w:val="32"/>
          <w:szCs w:val="32"/>
        </w:rPr>
        <w:t>或</w:t>
      </w:r>
      <w:r w:rsidR="00C74372">
        <w:rPr>
          <w:rFonts w:ascii="仿宋_GB2312" w:eastAsia="仿宋_GB2312" w:hint="eastAsia"/>
          <w:sz w:val="32"/>
          <w:szCs w:val="32"/>
        </w:rPr>
        <w:t>再审审查的裁判理由及结果、本案存在的问题、原因及整改措施、对本案被发回重审、改判和指令再</w:t>
      </w:r>
      <w:r w:rsidR="005566FC">
        <w:rPr>
          <w:rFonts w:ascii="仿宋_GB2312" w:eastAsia="仿宋_GB2312" w:hint="eastAsia"/>
          <w:sz w:val="32"/>
          <w:szCs w:val="32"/>
        </w:rPr>
        <w:t>审存在的异议和理由和对</w:t>
      </w:r>
      <w:r w:rsidR="00A34ED3">
        <w:rPr>
          <w:rFonts w:ascii="仿宋_GB2312" w:eastAsia="仿宋_GB2312" w:hint="eastAsia"/>
          <w:sz w:val="32"/>
          <w:szCs w:val="32"/>
        </w:rPr>
        <w:t>中院</w:t>
      </w:r>
      <w:r w:rsidR="005566FC">
        <w:rPr>
          <w:rFonts w:ascii="仿宋_GB2312" w:eastAsia="仿宋_GB2312" w:hint="eastAsia"/>
          <w:sz w:val="32"/>
          <w:szCs w:val="32"/>
        </w:rPr>
        <w:t>二审或再审案件提出的意见建议等</w:t>
      </w:r>
      <w:r w:rsidR="00C74372">
        <w:rPr>
          <w:rFonts w:ascii="仿宋_GB2312" w:eastAsia="仿宋_GB2312" w:hint="eastAsia"/>
          <w:sz w:val="32"/>
          <w:szCs w:val="32"/>
        </w:rPr>
        <w:t>内容。</w:t>
      </w:r>
    </w:p>
    <w:p w:rsidR="006575A8" w:rsidRDefault="006575A8" w:rsidP="006575A8">
      <w:pPr>
        <w:ind w:firstLine="660"/>
        <w:rPr>
          <w:rFonts w:ascii="仿宋_GB2312" w:eastAsia="仿宋_GB2312"/>
          <w:sz w:val="32"/>
          <w:szCs w:val="32"/>
        </w:rPr>
      </w:pPr>
      <w:r w:rsidRPr="00FB6EA9">
        <w:rPr>
          <w:rFonts w:ascii="仿宋_GB2312" w:eastAsia="仿宋_GB2312" w:hint="eastAsia"/>
          <w:b/>
          <w:sz w:val="32"/>
          <w:szCs w:val="32"/>
        </w:rPr>
        <w:t>第十</w:t>
      </w:r>
      <w:r w:rsidR="000347C5">
        <w:rPr>
          <w:rFonts w:ascii="仿宋_GB2312" w:eastAsia="仿宋_GB2312" w:hint="eastAsia"/>
          <w:b/>
          <w:sz w:val="32"/>
          <w:szCs w:val="32"/>
        </w:rPr>
        <w:t>二</w:t>
      </w:r>
      <w:r w:rsidRPr="00FB6EA9">
        <w:rPr>
          <w:rFonts w:ascii="仿宋_GB2312" w:eastAsia="仿宋_GB2312" w:hint="eastAsia"/>
          <w:b/>
          <w:sz w:val="32"/>
          <w:szCs w:val="32"/>
        </w:rPr>
        <w:t>条</w:t>
      </w:r>
      <w:r w:rsidR="00A10C0E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10C0E">
        <w:rPr>
          <w:rFonts w:ascii="仿宋_GB2312" w:eastAsia="仿宋_GB2312" w:hint="eastAsia"/>
          <w:sz w:val="32"/>
          <w:szCs w:val="32"/>
        </w:rPr>
        <w:t>全市</w:t>
      </w:r>
      <w:r w:rsidR="00184EA8">
        <w:rPr>
          <w:rFonts w:ascii="仿宋_GB2312" w:eastAsia="仿宋_GB2312" w:hint="eastAsia"/>
          <w:sz w:val="32"/>
          <w:szCs w:val="32"/>
        </w:rPr>
        <w:t>法院对于在案件质量双向评查工作中发现的共性问题应当进行整改，各</w:t>
      </w:r>
      <w:r w:rsidR="00A10C0E">
        <w:rPr>
          <w:rFonts w:ascii="仿宋_GB2312" w:eastAsia="仿宋_GB2312" w:hint="eastAsia"/>
          <w:sz w:val="32"/>
          <w:szCs w:val="32"/>
        </w:rPr>
        <w:t>基层法</w:t>
      </w:r>
      <w:r w:rsidR="00184EA8">
        <w:rPr>
          <w:rFonts w:ascii="仿宋_GB2312" w:eastAsia="仿宋_GB2312" w:hint="eastAsia"/>
          <w:sz w:val="32"/>
          <w:szCs w:val="32"/>
        </w:rPr>
        <w:t>院审判管理部门应当撰写案件质量评查工作情况报告，</w:t>
      </w:r>
      <w:r w:rsidR="00D0655B">
        <w:rPr>
          <w:rFonts w:ascii="仿宋_GB2312" w:eastAsia="仿宋_GB2312" w:hint="eastAsia"/>
          <w:sz w:val="32"/>
          <w:szCs w:val="32"/>
        </w:rPr>
        <w:t>并提交</w:t>
      </w:r>
      <w:r w:rsidR="00861391">
        <w:rPr>
          <w:rFonts w:ascii="仿宋_GB2312" w:eastAsia="仿宋_GB2312" w:hint="eastAsia"/>
          <w:sz w:val="32"/>
          <w:szCs w:val="32"/>
        </w:rPr>
        <w:t>审判委员会讨论后，决定通过业务培训、召开审判业务会</w:t>
      </w:r>
      <w:r w:rsidR="00184EA8">
        <w:rPr>
          <w:rFonts w:ascii="仿宋_GB2312" w:eastAsia="仿宋_GB2312" w:hint="eastAsia"/>
          <w:sz w:val="32"/>
          <w:szCs w:val="32"/>
        </w:rPr>
        <w:t>议</w:t>
      </w:r>
      <w:r w:rsidR="00A847AC">
        <w:rPr>
          <w:rFonts w:ascii="仿宋_GB2312" w:eastAsia="仿宋_GB2312" w:hint="eastAsia"/>
          <w:sz w:val="32"/>
          <w:szCs w:val="32"/>
        </w:rPr>
        <w:t>、</w:t>
      </w:r>
      <w:r w:rsidR="00861391">
        <w:rPr>
          <w:rFonts w:ascii="仿宋_GB2312" w:eastAsia="仿宋_GB2312" w:hint="eastAsia"/>
          <w:sz w:val="32"/>
          <w:szCs w:val="32"/>
        </w:rPr>
        <w:t>制定审判业务文件、发布参考性</w:t>
      </w:r>
      <w:r w:rsidR="00A847AC">
        <w:rPr>
          <w:rFonts w:ascii="仿宋_GB2312" w:eastAsia="仿宋_GB2312" w:hint="eastAsia"/>
          <w:sz w:val="32"/>
          <w:szCs w:val="32"/>
        </w:rPr>
        <w:t>案例</w:t>
      </w:r>
      <w:r w:rsidR="00184EA8">
        <w:rPr>
          <w:rFonts w:ascii="仿宋_GB2312" w:eastAsia="仿宋_GB2312" w:hint="eastAsia"/>
          <w:sz w:val="32"/>
          <w:szCs w:val="32"/>
        </w:rPr>
        <w:t>等形式统一裁判标准。</w:t>
      </w:r>
    </w:p>
    <w:p w:rsidR="005A60FD" w:rsidRDefault="005A60FD" w:rsidP="006575A8">
      <w:pPr>
        <w:ind w:firstLine="660"/>
        <w:rPr>
          <w:rFonts w:ascii="仿宋_GB2312" w:eastAsia="仿宋_GB2312" w:hAnsi="宋体" w:cs="宋体"/>
          <w:sz w:val="32"/>
          <w:szCs w:val="32"/>
        </w:rPr>
      </w:pPr>
      <w:r w:rsidRPr="00C06F0F">
        <w:rPr>
          <w:rFonts w:ascii="仿宋_GB2312" w:eastAsia="仿宋_GB2312" w:hAnsi="宋体" w:cs="宋体" w:hint="eastAsia"/>
          <w:b/>
          <w:sz w:val="32"/>
          <w:szCs w:val="32"/>
        </w:rPr>
        <w:t>第十</w:t>
      </w:r>
      <w:r w:rsidR="000347C5">
        <w:rPr>
          <w:rFonts w:ascii="仿宋_GB2312" w:eastAsia="仿宋_GB2312" w:hAnsi="宋体" w:cs="宋体" w:hint="eastAsia"/>
          <w:b/>
          <w:sz w:val="32"/>
          <w:szCs w:val="32"/>
        </w:rPr>
        <w:t>三</w:t>
      </w:r>
      <w:r w:rsidR="005E11F1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="003E0741"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 w:rsidR="00536323">
        <w:rPr>
          <w:rFonts w:ascii="仿宋_GB2312" w:eastAsia="仿宋_GB2312" w:hAnsi="宋体" w:cs="宋体" w:hint="eastAsia"/>
          <w:sz w:val="32"/>
          <w:szCs w:val="32"/>
        </w:rPr>
        <w:t>本实施办法</w:t>
      </w:r>
      <w:r>
        <w:rPr>
          <w:rFonts w:ascii="仿宋_GB2312" w:eastAsia="仿宋_GB2312" w:hAnsi="宋体" w:cs="宋体" w:hint="eastAsia"/>
          <w:sz w:val="32"/>
          <w:szCs w:val="32"/>
        </w:rPr>
        <w:t>由</w:t>
      </w:r>
      <w:r w:rsidR="00A2762B">
        <w:rPr>
          <w:rFonts w:ascii="仿宋_GB2312" w:eastAsia="仿宋_GB2312" w:hAnsi="宋体" w:cs="宋体" w:hint="eastAsia"/>
          <w:sz w:val="32"/>
          <w:szCs w:val="32"/>
        </w:rPr>
        <w:t>长春市中级人民法院</w:t>
      </w:r>
      <w:r w:rsidR="0077374B">
        <w:rPr>
          <w:rFonts w:ascii="仿宋_GB2312" w:eastAsia="仿宋_GB2312" w:hAnsi="宋体" w:cs="宋体" w:hint="eastAsia"/>
          <w:sz w:val="32"/>
          <w:szCs w:val="32"/>
        </w:rPr>
        <w:t>审判委员会</w:t>
      </w:r>
      <w:r>
        <w:rPr>
          <w:rFonts w:ascii="仿宋_GB2312" w:eastAsia="仿宋_GB2312" w:hAnsi="宋体" w:cs="宋体" w:hint="eastAsia"/>
          <w:sz w:val="32"/>
          <w:szCs w:val="32"/>
        </w:rPr>
        <w:t>负责</w:t>
      </w:r>
      <w:r w:rsidR="00FD1E01">
        <w:rPr>
          <w:rFonts w:ascii="仿宋_GB2312" w:eastAsia="仿宋_GB2312" w:hAnsi="宋体" w:cs="宋体" w:hint="eastAsia"/>
          <w:sz w:val="32"/>
          <w:szCs w:val="32"/>
        </w:rPr>
        <w:t>解释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A60FD" w:rsidRDefault="005A60FD" w:rsidP="006575A8">
      <w:pPr>
        <w:ind w:firstLine="660"/>
        <w:rPr>
          <w:rFonts w:ascii="仿宋_GB2312" w:eastAsia="仿宋_GB2312" w:hAnsi="宋体" w:cs="宋体"/>
          <w:sz w:val="32"/>
          <w:szCs w:val="32"/>
        </w:rPr>
      </w:pPr>
      <w:r w:rsidRPr="00C06F0F">
        <w:rPr>
          <w:rFonts w:ascii="仿宋_GB2312" w:eastAsia="仿宋_GB2312" w:hAnsi="宋体" w:cs="宋体" w:hint="eastAsia"/>
          <w:b/>
          <w:sz w:val="32"/>
          <w:szCs w:val="32"/>
        </w:rPr>
        <w:t>第十</w:t>
      </w:r>
      <w:r w:rsidR="000347C5">
        <w:rPr>
          <w:rFonts w:ascii="仿宋_GB2312" w:eastAsia="仿宋_GB2312" w:hAnsi="宋体" w:cs="宋体" w:hint="eastAsia"/>
          <w:b/>
          <w:sz w:val="32"/>
          <w:szCs w:val="32"/>
        </w:rPr>
        <w:t>四</w:t>
      </w:r>
      <w:r w:rsidR="005E11F1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="003E0741"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 w:rsidR="00536323">
        <w:rPr>
          <w:rFonts w:ascii="仿宋_GB2312" w:eastAsia="仿宋_GB2312" w:hAnsi="宋体" w:cs="宋体" w:hint="eastAsia"/>
          <w:sz w:val="32"/>
          <w:szCs w:val="32"/>
        </w:rPr>
        <w:t>本实施办法</w:t>
      </w:r>
      <w:r>
        <w:rPr>
          <w:rFonts w:ascii="仿宋_GB2312" w:eastAsia="仿宋_GB2312" w:hAnsi="宋体" w:cs="宋体" w:hint="eastAsia"/>
          <w:sz w:val="32"/>
          <w:szCs w:val="32"/>
        </w:rPr>
        <w:t>自印发之日起施行。</w:t>
      </w:r>
    </w:p>
    <w:p w:rsidR="00787FE3" w:rsidRPr="00F75A39" w:rsidRDefault="00787FE3" w:rsidP="006575A8">
      <w:pPr>
        <w:ind w:firstLine="660"/>
        <w:rPr>
          <w:rFonts w:ascii="仿宋_GB2312" w:eastAsia="仿宋_GB2312" w:hAnsi="宋体" w:cs="宋体"/>
          <w:b/>
          <w:sz w:val="32"/>
          <w:szCs w:val="32"/>
        </w:rPr>
      </w:pPr>
      <w:r w:rsidRPr="00F75A39">
        <w:rPr>
          <w:rFonts w:ascii="仿宋_GB2312" w:eastAsia="仿宋_GB2312" w:hAnsi="宋体" w:cs="宋体" w:hint="eastAsia"/>
          <w:b/>
          <w:sz w:val="32"/>
          <w:szCs w:val="32"/>
        </w:rPr>
        <w:t>附：</w:t>
      </w:r>
    </w:p>
    <w:p w:rsidR="0077688C" w:rsidRDefault="003E0741" w:rsidP="006575A8">
      <w:pPr>
        <w:ind w:firstLine="6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F30E9A">
        <w:rPr>
          <w:rFonts w:ascii="仿宋_GB2312" w:eastAsia="仿宋_GB2312" w:hAnsi="宋体" w:cs="宋体" w:hint="eastAsia"/>
          <w:sz w:val="32"/>
          <w:szCs w:val="32"/>
        </w:rPr>
        <w:t>《案件质量评查报告》</w:t>
      </w:r>
    </w:p>
    <w:p w:rsidR="00EB2A4F" w:rsidRDefault="00A34ED3" w:rsidP="006575A8">
      <w:pPr>
        <w:ind w:firstLine="6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EB2A4F">
        <w:rPr>
          <w:rFonts w:ascii="仿宋_GB2312" w:eastAsia="仿宋_GB2312" w:hAnsi="宋体" w:cs="宋体" w:hint="eastAsia"/>
          <w:sz w:val="32"/>
          <w:szCs w:val="32"/>
        </w:rPr>
        <w:t>.</w:t>
      </w:r>
      <w:r w:rsidR="00F30E9A">
        <w:rPr>
          <w:rFonts w:ascii="仿宋_GB2312" w:eastAsia="仿宋_GB2312" w:hAnsi="宋体" w:cs="宋体" w:hint="eastAsia"/>
          <w:sz w:val="32"/>
          <w:szCs w:val="32"/>
        </w:rPr>
        <w:t>《案件质量双向评查结果的回复》</w:t>
      </w:r>
    </w:p>
    <w:p w:rsidR="00764142" w:rsidRDefault="00764142" w:rsidP="006575A8">
      <w:pPr>
        <w:ind w:firstLine="660"/>
        <w:rPr>
          <w:rFonts w:ascii="仿宋_GB2312" w:eastAsia="仿宋_GB2312" w:hAnsi="宋体" w:cs="宋体"/>
          <w:sz w:val="32"/>
          <w:szCs w:val="32"/>
        </w:rPr>
      </w:pPr>
    </w:p>
    <w:p w:rsidR="00F30E9A" w:rsidRDefault="00F30E9A" w:rsidP="003E0741">
      <w:pPr>
        <w:rPr>
          <w:rFonts w:ascii="仿宋_GB2312" w:eastAsia="仿宋_GB2312" w:hAnsi="宋体" w:cs="宋体"/>
          <w:sz w:val="32"/>
          <w:szCs w:val="32"/>
        </w:rPr>
      </w:pPr>
    </w:p>
    <w:p w:rsidR="00533801" w:rsidRPr="00533801" w:rsidRDefault="00533801" w:rsidP="00533801">
      <w:pPr>
        <w:ind w:firstLine="660"/>
        <w:jc w:val="center"/>
        <w:rPr>
          <w:rFonts w:ascii="黑体" w:eastAsia="黑体" w:hAnsi="黑体" w:cs="宋体"/>
          <w:sz w:val="44"/>
          <w:szCs w:val="44"/>
        </w:rPr>
      </w:pPr>
      <w:r w:rsidRPr="00533801">
        <w:rPr>
          <w:rFonts w:ascii="黑体" w:eastAsia="黑体" w:hAnsi="黑体" w:cs="宋体" w:hint="eastAsia"/>
          <w:sz w:val="44"/>
          <w:szCs w:val="44"/>
        </w:rPr>
        <w:lastRenderedPageBreak/>
        <w:t>关于XXX(本院案号、当事人名称、案由)</w:t>
      </w:r>
    </w:p>
    <w:p w:rsidR="00533801" w:rsidRDefault="00533801" w:rsidP="00533801">
      <w:pPr>
        <w:ind w:firstLine="660"/>
        <w:jc w:val="center"/>
        <w:rPr>
          <w:rFonts w:ascii="黑体" w:eastAsia="黑体" w:hAnsi="黑体" w:cs="宋体"/>
          <w:sz w:val="44"/>
          <w:szCs w:val="44"/>
        </w:rPr>
      </w:pPr>
      <w:r w:rsidRPr="00533801">
        <w:rPr>
          <w:rFonts w:ascii="黑体" w:eastAsia="黑体" w:hAnsi="黑体" w:cs="宋体" w:hint="eastAsia"/>
          <w:sz w:val="44"/>
          <w:szCs w:val="44"/>
        </w:rPr>
        <w:t>一案的</w:t>
      </w:r>
      <w:r w:rsidR="009E2FBA">
        <w:rPr>
          <w:rFonts w:ascii="黑体" w:eastAsia="黑体" w:hAnsi="黑体" w:cs="宋体" w:hint="eastAsia"/>
          <w:sz w:val="44"/>
          <w:szCs w:val="44"/>
        </w:rPr>
        <w:t>案件质量</w:t>
      </w:r>
      <w:r w:rsidRPr="00533801">
        <w:rPr>
          <w:rFonts w:ascii="黑体" w:eastAsia="黑体" w:hAnsi="黑体" w:cs="宋体" w:hint="eastAsia"/>
          <w:sz w:val="44"/>
          <w:szCs w:val="44"/>
        </w:rPr>
        <w:t>评查报告</w:t>
      </w:r>
    </w:p>
    <w:p w:rsidR="00533801" w:rsidRDefault="00533801" w:rsidP="00533801">
      <w:pPr>
        <w:ind w:firstLine="660"/>
        <w:jc w:val="center"/>
        <w:rPr>
          <w:rFonts w:ascii="黑体" w:eastAsia="黑体" w:hAnsi="黑体" w:cs="宋体"/>
          <w:sz w:val="44"/>
          <w:szCs w:val="44"/>
        </w:rPr>
      </w:pPr>
    </w:p>
    <w:p w:rsidR="00533801" w:rsidRDefault="00533801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XXX一案(本院案号、当事人名称、案由)，该案于XX年</w:t>
      </w:r>
      <w:r w:rsidR="00E64812">
        <w:rPr>
          <w:rFonts w:ascii="仿宋_GB2312" w:eastAsia="仿宋_GB2312" w:hAnsi="黑体" w:cs="宋体" w:hint="eastAsia"/>
          <w:sz w:val="32"/>
          <w:szCs w:val="32"/>
        </w:rPr>
        <w:t>XX月XX日被</w:t>
      </w:r>
      <w:r w:rsidR="003E0741">
        <w:rPr>
          <w:rFonts w:ascii="仿宋_GB2312" w:eastAsia="仿宋_GB2312" w:hAnsi="黑体" w:cs="宋体" w:hint="eastAsia"/>
          <w:sz w:val="32"/>
          <w:szCs w:val="32"/>
        </w:rPr>
        <w:t>中</w:t>
      </w:r>
      <w:r w:rsidR="00E64812">
        <w:rPr>
          <w:rFonts w:ascii="仿宋_GB2312" w:eastAsia="仿宋_GB2312" w:hAnsi="黑体" w:cs="宋体" w:hint="eastAsia"/>
          <w:sz w:val="32"/>
          <w:szCs w:val="32"/>
        </w:rPr>
        <w:t>级法院以XX(</w:t>
      </w:r>
      <w:r w:rsidR="003E0741">
        <w:rPr>
          <w:rFonts w:ascii="仿宋_GB2312" w:eastAsia="仿宋_GB2312" w:hAnsi="黑体" w:cs="宋体" w:hint="eastAsia"/>
          <w:sz w:val="32"/>
          <w:szCs w:val="32"/>
        </w:rPr>
        <w:t>中</w:t>
      </w:r>
      <w:r w:rsidR="00E64812">
        <w:rPr>
          <w:rFonts w:ascii="仿宋_GB2312" w:eastAsia="仿宋_GB2312" w:hAnsi="黑体" w:cs="宋体" w:hint="eastAsia"/>
          <w:sz w:val="32"/>
          <w:szCs w:val="32"/>
        </w:rPr>
        <w:t>级法院案号</w:t>
      </w:r>
      <w:r w:rsidR="007830AB">
        <w:rPr>
          <w:rFonts w:ascii="仿宋_GB2312" w:eastAsia="仿宋_GB2312" w:hAnsi="黑体" w:cs="宋体" w:hint="eastAsia"/>
          <w:sz w:val="32"/>
          <w:szCs w:val="32"/>
        </w:rPr>
        <w:t>裁判文书</w:t>
      </w:r>
      <w:r w:rsidR="00E64812">
        <w:rPr>
          <w:rFonts w:ascii="仿宋_GB2312" w:eastAsia="仿宋_GB2312" w:hAnsi="黑体" w:cs="宋体" w:hint="eastAsia"/>
          <w:sz w:val="32"/>
          <w:szCs w:val="32"/>
        </w:rPr>
        <w:t>)作出发回重审(改判、指令再审)，发回重审(改判、指令再审)</w:t>
      </w:r>
      <w:r w:rsidR="00EE1946">
        <w:rPr>
          <w:rFonts w:ascii="仿宋_GB2312" w:eastAsia="仿宋_GB2312" w:hAnsi="黑体" w:cs="宋体" w:hint="eastAsia"/>
          <w:sz w:val="32"/>
          <w:szCs w:val="32"/>
        </w:rPr>
        <w:t>原因为：……。</w:t>
      </w:r>
    </w:p>
    <w:p w:rsidR="00EE1946" w:rsidRDefault="00EE1946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案件质量评查人员评查</w:t>
      </w:r>
      <w:r w:rsidR="007830AB">
        <w:rPr>
          <w:rFonts w:ascii="仿宋_GB2312" w:eastAsia="仿宋_GB2312" w:hAnsi="黑体" w:cs="宋体" w:hint="eastAsia"/>
          <w:sz w:val="32"/>
          <w:szCs w:val="32"/>
        </w:rPr>
        <w:t>、合议并提交审判委员会讨论</w:t>
      </w:r>
      <w:r>
        <w:rPr>
          <w:rFonts w:ascii="仿宋_GB2312" w:eastAsia="仿宋_GB2312" w:hAnsi="黑体" w:cs="宋体" w:hint="eastAsia"/>
          <w:sz w:val="32"/>
          <w:szCs w:val="32"/>
        </w:rPr>
        <w:t>后认为，该案属于(或不属于)自身原因导致案件被发回重审、改判或指令再审。现将该案评析如下：</w:t>
      </w:r>
    </w:p>
    <w:p w:rsidR="00EE1946" w:rsidRDefault="00901C71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一、案件的由来及审理经过。</w:t>
      </w:r>
    </w:p>
    <w:p w:rsidR="00901C71" w:rsidRDefault="00901C71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二、本院裁判理由及结果。</w:t>
      </w:r>
    </w:p>
    <w:p w:rsidR="00901C71" w:rsidRDefault="0062221C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三、</w:t>
      </w:r>
      <w:r w:rsidR="003E0741">
        <w:rPr>
          <w:rFonts w:ascii="仿宋_GB2312" w:eastAsia="仿宋_GB2312" w:hAnsi="黑体" w:cs="宋体" w:hint="eastAsia"/>
          <w:sz w:val="32"/>
          <w:szCs w:val="32"/>
        </w:rPr>
        <w:t>中</w:t>
      </w:r>
      <w:r>
        <w:rPr>
          <w:rFonts w:ascii="仿宋_GB2312" w:eastAsia="仿宋_GB2312" w:hAnsi="黑体" w:cs="宋体" w:hint="eastAsia"/>
          <w:sz w:val="32"/>
          <w:szCs w:val="32"/>
        </w:rPr>
        <w:t>级法院二审、</w:t>
      </w:r>
      <w:r w:rsidR="00901C71">
        <w:rPr>
          <w:rFonts w:ascii="仿宋_GB2312" w:eastAsia="仿宋_GB2312" w:hAnsi="黑体" w:cs="宋体" w:hint="eastAsia"/>
          <w:sz w:val="32"/>
          <w:szCs w:val="32"/>
        </w:rPr>
        <w:t>再审</w:t>
      </w:r>
      <w:r>
        <w:rPr>
          <w:rFonts w:ascii="仿宋_GB2312" w:eastAsia="仿宋_GB2312" w:hAnsi="黑体" w:cs="宋体" w:hint="eastAsia"/>
          <w:sz w:val="32"/>
          <w:szCs w:val="32"/>
        </w:rPr>
        <w:t>(再审审查)</w:t>
      </w:r>
      <w:r w:rsidR="00901C71">
        <w:rPr>
          <w:rFonts w:ascii="仿宋_GB2312" w:eastAsia="仿宋_GB2312" w:hAnsi="黑体" w:cs="宋体" w:hint="eastAsia"/>
          <w:sz w:val="32"/>
          <w:szCs w:val="32"/>
        </w:rPr>
        <w:t>的裁判理由及结果。</w:t>
      </w:r>
    </w:p>
    <w:p w:rsidR="00901C71" w:rsidRDefault="00901C71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四、本案存在的问题、原因及整改措施</w:t>
      </w:r>
      <w:r w:rsidR="00972B23">
        <w:rPr>
          <w:rFonts w:ascii="仿宋_GB2312" w:eastAsia="仿宋_GB2312" w:hAnsi="黑体" w:cs="宋体" w:hint="eastAsia"/>
          <w:sz w:val="32"/>
          <w:szCs w:val="32"/>
        </w:rPr>
        <w:t>(对发回重审、改判和指令再审结果无异议</w:t>
      </w:r>
      <w:r w:rsidR="00120D08">
        <w:rPr>
          <w:rFonts w:ascii="仿宋_GB2312" w:eastAsia="仿宋_GB2312" w:hAnsi="黑体" w:cs="宋体" w:hint="eastAsia"/>
          <w:sz w:val="32"/>
          <w:szCs w:val="32"/>
        </w:rPr>
        <w:t>时采用</w:t>
      </w:r>
      <w:r w:rsidR="00972B23">
        <w:rPr>
          <w:rFonts w:ascii="仿宋_GB2312" w:eastAsia="仿宋_GB2312" w:hAnsi="黑体" w:cs="宋体" w:hint="eastAsia"/>
          <w:sz w:val="32"/>
          <w:szCs w:val="32"/>
        </w:rPr>
        <w:t>)</w:t>
      </w:r>
      <w:r>
        <w:rPr>
          <w:rFonts w:ascii="仿宋_GB2312" w:eastAsia="仿宋_GB2312" w:hAnsi="黑体" w:cs="宋体" w:hint="eastAsia"/>
          <w:sz w:val="32"/>
          <w:szCs w:val="32"/>
        </w:rPr>
        <w:t>。</w:t>
      </w:r>
    </w:p>
    <w:p w:rsidR="00901C71" w:rsidRDefault="00901C71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五、本案被发回重审、改判或指令再审存在的异议及理由</w:t>
      </w:r>
      <w:r w:rsidR="00972B23">
        <w:rPr>
          <w:rFonts w:ascii="仿宋_GB2312" w:eastAsia="仿宋_GB2312" w:hAnsi="黑体" w:cs="宋体" w:hint="eastAsia"/>
          <w:sz w:val="32"/>
          <w:szCs w:val="32"/>
        </w:rPr>
        <w:t>(对发回重审、改判和指令再审结果有异议</w:t>
      </w:r>
      <w:r w:rsidR="00120D08">
        <w:rPr>
          <w:rFonts w:ascii="仿宋_GB2312" w:eastAsia="仿宋_GB2312" w:hAnsi="黑体" w:cs="宋体" w:hint="eastAsia"/>
          <w:sz w:val="32"/>
          <w:szCs w:val="32"/>
        </w:rPr>
        <w:t>时采用</w:t>
      </w:r>
      <w:r w:rsidR="00972B23">
        <w:rPr>
          <w:rFonts w:ascii="仿宋_GB2312" w:eastAsia="仿宋_GB2312" w:hAnsi="黑体" w:cs="宋体" w:hint="eastAsia"/>
          <w:sz w:val="32"/>
          <w:szCs w:val="32"/>
        </w:rPr>
        <w:t>)</w:t>
      </w:r>
      <w:r>
        <w:rPr>
          <w:rFonts w:ascii="仿宋_GB2312" w:eastAsia="仿宋_GB2312" w:hAnsi="黑体" w:cs="宋体" w:hint="eastAsia"/>
          <w:sz w:val="32"/>
          <w:szCs w:val="32"/>
        </w:rPr>
        <w:t>。</w:t>
      </w:r>
    </w:p>
    <w:p w:rsidR="00901C71" w:rsidRDefault="00901C71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六、对</w:t>
      </w:r>
      <w:r w:rsidR="003E0741">
        <w:rPr>
          <w:rFonts w:ascii="仿宋_GB2312" w:eastAsia="仿宋_GB2312" w:hAnsi="黑体" w:cs="宋体" w:hint="eastAsia"/>
          <w:sz w:val="32"/>
          <w:szCs w:val="32"/>
        </w:rPr>
        <w:t>中</w:t>
      </w:r>
      <w:r>
        <w:rPr>
          <w:rFonts w:ascii="仿宋_GB2312" w:eastAsia="仿宋_GB2312" w:hAnsi="黑体" w:cs="宋体" w:hint="eastAsia"/>
          <w:sz w:val="32"/>
          <w:szCs w:val="32"/>
        </w:rPr>
        <w:t>级法院二审或再审案件提出的意见或建设。</w:t>
      </w:r>
    </w:p>
    <w:p w:rsidR="00901C71" w:rsidRDefault="00901C71" w:rsidP="00EE1946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附：一审判决书、二审判决书及相关材料</w:t>
      </w:r>
    </w:p>
    <w:p w:rsidR="0068597F" w:rsidRDefault="0068597F" w:rsidP="0068597F">
      <w:pPr>
        <w:ind w:firstLine="645"/>
        <w:rPr>
          <w:rFonts w:ascii="仿宋_GB2312" w:eastAsia="仿宋_GB2312" w:hAnsi="黑体" w:cs="宋体"/>
          <w:sz w:val="32"/>
          <w:szCs w:val="32"/>
        </w:rPr>
      </w:pPr>
    </w:p>
    <w:p w:rsidR="00901C71" w:rsidRDefault="00901C71" w:rsidP="0068597F">
      <w:pPr>
        <w:ind w:firstLineChars="1900" w:firstLine="6080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 xml:space="preserve"> XXX法院</w:t>
      </w:r>
    </w:p>
    <w:p w:rsidR="00901C71" w:rsidRDefault="00901C71" w:rsidP="0068597F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 xml:space="preserve">                                  年  月  日</w:t>
      </w:r>
    </w:p>
    <w:p w:rsidR="00683839" w:rsidRDefault="00683839" w:rsidP="00683839">
      <w:pPr>
        <w:jc w:val="center"/>
        <w:rPr>
          <w:rFonts w:ascii="黑体" w:eastAsia="黑体" w:hAnsi="黑体" w:cs="宋体"/>
          <w:sz w:val="44"/>
          <w:szCs w:val="44"/>
        </w:rPr>
      </w:pPr>
      <w:r w:rsidRPr="00683839">
        <w:rPr>
          <w:rFonts w:ascii="黑体" w:eastAsia="黑体" w:hAnsi="黑体" w:cs="宋体" w:hint="eastAsia"/>
          <w:sz w:val="44"/>
          <w:szCs w:val="44"/>
        </w:rPr>
        <w:lastRenderedPageBreak/>
        <w:t>对XXX法院XXX(案号)</w:t>
      </w:r>
      <w:r>
        <w:rPr>
          <w:rFonts w:ascii="黑体" w:eastAsia="黑体" w:hAnsi="黑体" w:cs="宋体" w:hint="eastAsia"/>
          <w:sz w:val="44"/>
          <w:szCs w:val="44"/>
        </w:rPr>
        <w:t>一案的案件</w:t>
      </w:r>
    </w:p>
    <w:p w:rsidR="0077688C" w:rsidRPr="00683839" w:rsidRDefault="00683839" w:rsidP="00683839">
      <w:pPr>
        <w:jc w:val="center"/>
        <w:rPr>
          <w:rFonts w:ascii="黑体" w:eastAsia="黑体" w:hAnsi="黑体" w:cs="宋体"/>
          <w:sz w:val="44"/>
          <w:szCs w:val="44"/>
        </w:rPr>
      </w:pPr>
      <w:r w:rsidRPr="00683839">
        <w:rPr>
          <w:rFonts w:ascii="黑体" w:eastAsia="黑体" w:hAnsi="黑体" w:cs="宋体" w:hint="eastAsia"/>
          <w:sz w:val="44"/>
          <w:szCs w:val="44"/>
        </w:rPr>
        <w:t>质量双向评查结果的</w:t>
      </w:r>
      <w:r w:rsidR="00721BBE">
        <w:rPr>
          <w:rFonts w:ascii="黑体" w:eastAsia="黑体" w:hAnsi="黑体" w:cs="宋体" w:hint="eastAsia"/>
          <w:sz w:val="44"/>
          <w:szCs w:val="44"/>
        </w:rPr>
        <w:t>回</w:t>
      </w:r>
      <w:r w:rsidRPr="00683839">
        <w:rPr>
          <w:rFonts w:ascii="黑体" w:eastAsia="黑体" w:hAnsi="黑体" w:cs="宋体" w:hint="eastAsia"/>
          <w:sz w:val="44"/>
          <w:szCs w:val="44"/>
        </w:rPr>
        <w:t>复</w:t>
      </w:r>
    </w:p>
    <w:p w:rsidR="00683839" w:rsidRDefault="00683839">
      <w:pPr>
        <w:jc w:val="center"/>
        <w:rPr>
          <w:rFonts w:ascii="黑体" w:eastAsia="黑体" w:hAnsi="黑体" w:cs="宋体"/>
          <w:sz w:val="44"/>
          <w:szCs w:val="44"/>
        </w:rPr>
      </w:pPr>
    </w:p>
    <w:p w:rsidR="00683839" w:rsidRDefault="00683839" w:rsidP="00683839">
      <w:pPr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XXX法院：</w:t>
      </w:r>
    </w:p>
    <w:p w:rsidR="00683839" w:rsidRDefault="00683839" w:rsidP="00216253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XXX一案(原审案号、当事人名称、案由)，该案你院于XX年XX月XX日向本</w:t>
      </w:r>
      <w:r w:rsidR="007920D3">
        <w:rPr>
          <w:rFonts w:ascii="仿宋_GB2312" w:eastAsia="仿宋_GB2312" w:hAnsi="黑体" w:cs="宋体" w:hint="eastAsia"/>
          <w:sz w:val="32"/>
          <w:szCs w:val="32"/>
        </w:rPr>
        <w:t>院</w:t>
      </w:r>
      <w:r>
        <w:rPr>
          <w:rFonts w:ascii="仿宋_GB2312" w:eastAsia="仿宋_GB2312" w:hAnsi="黑体" w:cs="宋体" w:hint="eastAsia"/>
          <w:sz w:val="32"/>
          <w:szCs w:val="32"/>
        </w:rPr>
        <w:t>提出了案件质量双向评查申请，我院进行了案件质量评查，经</w:t>
      </w:r>
      <w:r w:rsidR="007920D3">
        <w:rPr>
          <w:rFonts w:ascii="仿宋_GB2312" w:eastAsia="仿宋_GB2312" w:hAnsi="黑体" w:cs="宋体" w:hint="eastAsia"/>
          <w:sz w:val="32"/>
          <w:szCs w:val="32"/>
        </w:rPr>
        <w:t>本</w:t>
      </w:r>
      <w:r>
        <w:rPr>
          <w:rFonts w:ascii="仿宋_GB2312" w:eastAsia="仿宋_GB2312" w:hAnsi="黑体" w:cs="宋体" w:hint="eastAsia"/>
          <w:sz w:val="32"/>
          <w:szCs w:val="32"/>
        </w:rPr>
        <w:t>院审判委员会讨论决定，现将案件质量评查结果</w:t>
      </w:r>
      <w:r w:rsidR="00721BBE">
        <w:rPr>
          <w:rFonts w:ascii="仿宋_GB2312" w:eastAsia="仿宋_GB2312" w:hAnsi="黑体" w:cs="宋体" w:hint="eastAsia"/>
          <w:sz w:val="32"/>
          <w:szCs w:val="32"/>
        </w:rPr>
        <w:t>回</w:t>
      </w:r>
      <w:r>
        <w:rPr>
          <w:rFonts w:ascii="仿宋_GB2312" w:eastAsia="仿宋_GB2312" w:hAnsi="黑体" w:cs="宋体" w:hint="eastAsia"/>
          <w:sz w:val="32"/>
          <w:szCs w:val="32"/>
        </w:rPr>
        <w:t>复如下：</w:t>
      </w:r>
    </w:p>
    <w:p w:rsidR="00216253" w:rsidRDefault="00216253" w:rsidP="00216253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一、下级法院提出的异议及理由。</w:t>
      </w:r>
    </w:p>
    <w:p w:rsidR="00216253" w:rsidRDefault="00216253" w:rsidP="00216253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二、本院审判委员会讨论的结果和理由</w:t>
      </w:r>
    </w:p>
    <w:p w:rsidR="00216253" w:rsidRDefault="00216253" w:rsidP="00216253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三、对本院二审(再审、再审审查)案件的整改措施(</w:t>
      </w:r>
      <w:bookmarkStart w:id="0" w:name="_GoBack"/>
      <w:bookmarkEnd w:id="0"/>
      <w:r>
        <w:rPr>
          <w:rFonts w:ascii="仿宋_GB2312" w:eastAsia="仿宋_GB2312" w:hAnsi="黑体" w:cs="宋体" w:hint="eastAsia"/>
          <w:sz w:val="32"/>
          <w:szCs w:val="32"/>
        </w:rPr>
        <w:t>本院二审、再审或再审审理需要整改时采用)或对下级法院处理相关问题的建议(辖区法院一审、原审案件存在问题时采用)。</w:t>
      </w:r>
    </w:p>
    <w:p w:rsidR="00216253" w:rsidRDefault="00216253" w:rsidP="00216253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特此回复</w:t>
      </w:r>
    </w:p>
    <w:p w:rsidR="00216253" w:rsidRDefault="00216253" w:rsidP="00216253">
      <w:pPr>
        <w:ind w:firstLine="645"/>
        <w:rPr>
          <w:rFonts w:ascii="仿宋_GB2312" w:eastAsia="仿宋_GB2312" w:hAnsi="黑体" w:cs="宋体"/>
          <w:sz w:val="32"/>
          <w:szCs w:val="32"/>
        </w:rPr>
      </w:pPr>
    </w:p>
    <w:p w:rsidR="00216253" w:rsidRDefault="00216253" w:rsidP="00216253">
      <w:pPr>
        <w:ind w:firstLine="645"/>
        <w:rPr>
          <w:rFonts w:ascii="仿宋_GB2312" w:eastAsia="仿宋_GB2312" w:hAnsi="黑体" w:cs="宋体"/>
          <w:sz w:val="32"/>
          <w:szCs w:val="32"/>
        </w:rPr>
      </w:pPr>
    </w:p>
    <w:p w:rsidR="00216253" w:rsidRDefault="00216253" w:rsidP="00216253">
      <w:pPr>
        <w:ind w:firstLine="645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 xml:space="preserve">                                      </w:t>
      </w:r>
      <w:r w:rsidR="00DA1869">
        <w:rPr>
          <w:rFonts w:ascii="仿宋_GB2312" w:eastAsia="仿宋_GB2312" w:hAnsi="黑体" w:cs="宋体" w:hint="eastAsia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sz w:val="32"/>
          <w:szCs w:val="32"/>
        </w:rPr>
        <w:t>XXX法院</w:t>
      </w:r>
    </w:p>
    <w:p w:rsidR="00216253" w:rsidRDefault="00216253" w:rsidP="006C5AB4">
      <w:pPr>
        <w:ind w:firstLine="645"/>
        <w:jc w:val="righ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 xml:space="preserve">  年  月  日</w:t>
      </w:r>
    </w:p>
    <w:p w:rsidR="00811002" w:rsidRDefault="00811002" w:rsidP="001639FE">
      <w:pPr>
        <w:ind w:firstLine="645"/>
        <w:rPr>
          <w:rFonts w:ascii="仿宋_GB2312" w:eastAsia="仿宋_GB2312" w:hAnsi="黑体" w:cs="宋体"/>
          <w:sz w:val="32"/>
          <w:szCs w:val="32"/>
        </w:rPr>
      </w:pPr>
    </w:p>
    <w:p w:rsidR="00811002" w:rsidRDefault="00811002" w:rsidP="001639FE">
      <w:pPr>
        <w:ind w:firstLine="645"/>
        <w:rPr>
          <w:rFonts w:ascii="仿宋_GB2312" w:eastAsia="仿宋_GB2312" w:hAnsi="黑体" w:cs="宋体"/>
          <w:sz w:val="32"/>
          <w:szCs w:val="32"/>
        </w:rPr>
      </w:pPr>
    </w:p>
    <w:p w:rsidR="00811002" w:rsidRPr="00881B6D" w:rsidRDefault="00A2762B" w:rsidP="00881B6D">
      <w:pPr>
        <w:pBdr>
          <w:top w:val="single" w:sz="6" w:space="1" w:color="auto"/>
          <w:bottom w:val="single" w:sz="6" w:space="1" w:color="auto"/>
        </w:pBdr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长春市中级人民法院</w:t>
      </w:r>
      <w:r w:rsidR="00811002">
        <w:rPr>
          <w:rFonts w:ascii="仿宋_GB2312" w:eastAsia="仿宋_GB2312" w:hAnsi="黑体" w:cs="宋体" w:hint="eastAsia"/>
          <w:sz w:val="32"/>
          <w:szCs w:val="32"/>
        </w:rPr>
        <w:t>办公室         2018年</w:t>
      </w:r>
      <w:r w:rsidR="003E0741">
        <w:rPr>
          <w:rFonts w:ascii="仿宋_GB2312" w:eastAsia="仿宋_GB2312" w:hAnsi="黑体" w:cs="宋体" w:hint="eastAsia"/>
          <w:sz w:val="32"/>
          <w:szCs w:val="32"/>
        </w:rPr>
        <w:t>9</w:t>
      </w:r>
      <w:r w:rsidR="00811002">
        <w:rPr>
          <w:rFonts w:ascii="仿宋_GB2312" w:eastAsia="仿宋_GB2312" w:hAnsi="黑体" w:cs="宋体" w:hint="eastAsia"/>
          <w:sz w:val="32"/>
          <w:szCs w:val="32"/>
        </w:rPr>
        <w:t>月18日印发</w:t>
      </w:r>
    </w:p>
    <w:sectPr w:rsidR="00811002" w:rsidRPr="00881B6D" w:rsidSect="00A607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4C" w:rsidRDefault="00B62F4C" w:rsidP="00C44FCE">
      <w:r>
        <w:separator/>
      </w:r>
    </w:p>
  </w:endnote>
  <w:endnote w:type="continuationSeparator" w:id="1">
    <w:p w:rsidR="00B62F4C" w:rsidRDefault="00B62F4C" w:rsidP="00C4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45225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44FCE" w:rsidRPr="00C44FCE" w:rsidRDefault="004549C1">
        <w:pPr>
          <w:pStyle w:val="a4"/>
          <w:jc w:val="center"/>
          <w:rPr>
            <w:sz w:val="28"/>
            <w:szCs w:val="28"/>
          </w:rPr>
        </w:pPr>
        <w:r w:rsidRPr="00C44FCE">
          <w:rPr>
            <w:sz w:val="28"/>
            <w:szCs w:val="28"/>
          </w:rPr>
          <w:fldChar w:fldCharType="begin"/>
        </w:r>
        <w:r w:rsidR="00C44FCE" w:rsidRPr="00C44FCE">
          <w:rPr>
            <w:sz w:val="28"/>
            <w:szCs w:val="28"/>
          </w:rPr>
          <w:instrText>PAGE   \* MERGEFORMAT</w:instrText>
        </w:r>
        <w:r w:rsidRPr="00C44FCE">
          <w:rPr>
            <w:sz w:val="28"/>
            <w:szCs w:val="28"/>
          </w:rPr>
          <w:fldChar w:fldCharType="separate"/>
        </w:r>
        <w:r w:rsidR="00E0156D" w:rsidRPr="00E0156D">
          <w:rPr>
            <w:noProof/>
            <w:sz w:val="28"/>
            <w:szCs w:val="28"/>
            <w:lang w:val="zh-CN"/>
          </w:rPr>
          <w:t>2</w:t>
        </w:r>
        <w:r w:rsidRPr="00C44FCE">
          <w:rPr>
            <w:sz w:val="28"/>
            <w:szCs w:val="28"/>
          </w:rPr>
          <w:fldChar w:fldCharType="end"/>
        </w:r>
      </w:p>
    </w:sdtContent>
  </w:sdt>
  <w:p w:rsidR="00C44FCE" w:rsidRDefault="00C44F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4C" w:rsidRDefault="00B62F4C" w:rsidP="00C44FCE">
      <w:r>
        <w:separator/>
      </w:r>
    </w:p>
  </w:footnote>
  <w:footnote w:type="continuationSeparator" w:id="1">
    <w:p w:rsidR="00B62F4C" w:rsidRDefault="00B62F4C" w:rsidP="00C4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510"/>
    <w:multiLevelType w:val="hybridMultilevel"/>
    <w:tmpl w:val="92485B94"/>
    <w:lvl w:ilvl="0" w:tplc="CBD8CE62">
      <w:start w:val="1"/>
      <w:numFmt w:val="japaneseCounting"/>
      <w:lvlText w:val="第%1条"/>
      <w:lvlJc w:val="left"/>
      <w:pPr>
        <w:ind w:left="2357" w:hanging="1080"/>
      </w:pPr>
      <w:rPr>
        <w:rFonts w:ascii="黑体" w:eastAsia="黑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2179" w:hanging="420"/>
      </w:pPr>
    </w:lvl>
    <w:lvl w:ilvl="2" w:tplc="0409001B" w:tentative="1">
      <w:start w:val="1"/>
      <w:numFmt w:val="lowerRoman"/>
      <w:lvlText w:val="%3."/>
      <w:lvlJc w:val="right"/>
      <w:pPr>
        <w:ind w:left="2599" w:hanging="420"/>
      </w:pPr>
    </w:lvl>
    <w:lvl w:ilvl="3" w:tplc="0409000F" w:tentative="1">
      <w:start w:val="1"/>
      <w:numFmt w:val="decimal"/>
      <w:lvlText w:val="%4."/>
      <w:lvlJc w:val="left"/>
      <w:pPr>
        <w:ind w:left="3019" w:hanging="420"/>
      </w:pPr>
    </w:lvl>
    <w:lvl w:ilvl="4" w:tplc="04090019" w:tentative="1">
      <w:start w:val="1"/>
      <w:numFmt w:val="lowerLetter"/>
      <w:lvlText w:val="%5)"/>
      <w:lvlJc w:val="left"/>
      <w:pPr>
        <w:ind w:left="3439" w:hanging="420"/>
      </w:pPr>
    </w:lvl>
    <w:lvl w:ilvl="5" w:tplc="0409001B" w:tentative="1">
      <w:start w:val="1"/>
      <w:numFmt w:val="lowerRoman"/>
      <w:lvlText w:val="%6."/>
      <w:lvlJc w:val="right"/>
      <w:pPr>
        <w:ind w:left="3859" w:hanging="420"/>
      </w:pPr>
    </w:lvl>
    <w:lvl w:ilvl="6" w:tplc="0409000F" w:tentative="1">
      <w:start w:val="1"/>
      <w:numFmt w:val="decimal"/>
      <w:lvlText w:val="%7."/>
      <w:lvlJc w:val="left"/>
      <w:pPr>
        <w:ind w:left="4279" w:hanging="420"/>
      </w:pPr>
    </w:lvl>
    <w:lvl w:ilvl="7" w:tplc="04090019" w:tentative="1">
      <w:start w:val="1"/>
      <w:numFmt w:val="lowerLetter"/>
      <w:lvlText w:val="%8)"/>
      <w:lvlJc w:val="left"/>
      <w:pPr>
        <w:ind w:left="4699" w:hanging="420"/>
      </w:pPr>
    </w:lvl>
    <w:lvl w:ilvl="8" w:tplc="0409001B" w:tentative="1">
      <w:start w:val="1"/>
      <w:numFmt w:val="lowerRoman"/>
      <w:lvlText w:val="%9."/>
      <w:lvlJc w:val="right"/>
      <w:pPr>
        <w:ind w:left="51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E0F"/>
    <w:rsid w:val="00005C06"/>
    <w:rsid w:val="00006A5F"/>
    <w:rsid w:val="00032881"/>
    <w:rsid w:val="000347C5"/>
    <w:rsid w:val="0003785C"/>
    <w:rsid w:val="00044C0C"/>
    <w:rsid w:val="00053998"/>
    <w:rsid w:val="00055BCF"/>
    <w:rsid w:val="00062783"/>
    <w:rsid w:val="000743EF"/>
    <w:rsid w:val="00075B71"/>
    <w:rsid w:val="00086120"/>
    <w:rsid w:val="000A6600"/>
    <w:rsid w:val="000B2229"/>
    <w:rsid w:val="000E2FDB"/>
    <w:rsid w:val="000F5571"/>
    <w:rsid w:val="001111C0"/>
    <w:rsid w:val="00111DCF"/>
    <w:rsid w:val="001204D7"/>
    <w:rsid w:val="00120D08"/>
    <w:rsid w:val="00124200"/>
    <w:rsid w:val="00126941"/>
    <w:rsid w:val="001274CC"/>
    <w:rsid w:val="00131EF1"/>
    <w:rsid w:val="0014303E"/>
    <w:rsid w:val="00144B0A"/>
    <w:rsid w:val="00153670"/>
    <w:rsid w:val="001536F8"/>
    <w:rsid w:val="001639FE"/>
    <w:rsid w:val="00175814"/>
    <w:rsid w:val="00181D1C"/>
    <w:rsid w:val="00184EA8"/>
    <w:rsid w:val="001A5936"/>
    <w:rsid w:val="001B6E35"/>
    <w:rsid w:val="001E077D"/>
    <w:rsid w:val="001E0B5F"/>
    <w:rsid w:val="00214EA4"/>
    <w:rsid w:val="00216253"/>
    <w:rsid w:val="00237CC5"/>
    <w:rsid w:val="00260D41"/>
    <w:rsid w:val="00262E5A"/>
    <w:rsid w:val="00270566"/>
    <w:rsid w:val="00276E43"/>
    <w:rsid w:val="00292C50"/>
    <w:rsid w:val="002A5F73"/>
    <w:rsid w:val="002B1C8E"/>
    <w:rsid w:val="002B34F6"/>
    <w:rsid w:val="002C1C78"/>
    <w:rsid w:val="002D2767"/>
    <w:rsid w:val="002D50C2"/>
    <w:rsid w:val="002D7BA8"/>
    <w:rsid w:val="002F3E60"/>
    <w:rsid w:val="00302067"/>
    <w:rsid w:val="00317316"/>
    <w:rsid w:val="0032045A"/>
    <w:rsid w:val="00322527"/>
    <w:rsid w:val="00322ED0"/>
    <w:rsid w:val="00330B23"/>
    <w:rsid w:val="003366A5"/>
    <w:rsid w:val="00354503"/>
    <w:rsid w:val="003721A3"/>
    <w:rsid w:val="00375BB5"/>
    <w:rsid w:val="00394058"/>
    <w:rsid w:val="003945FC"/>
    <w:rsid w:val="00396723"/>
    <w:rsid w:val="003A16F7"/>
    <w:rsid w:val="003A27A4"/>
    <w:rsid w:val="003C04CC"/>
    <w:rsid w:val="003C6186"/>
    <w:rsid w:val="003D6186"/>
    <w:rsid w:val="003E0741"/>
    <w:rsid w:val="003E7414"/>
    <w:rsid w:val="003F1E74"/>
    <w:rsid w:val="003F3532"/>
    <w:rsid w:val="00406E0F"/>
    <w:rsid w:val="00427478"/>
    <w:rsid w:val="00430EEA"/>
    <w:rsid w:val="0043394C"/>
    <w:rsid w:val="00443CE4"/>
    <w:rsid w:val="004549C1"/>
    <w:rsid w:val="00455612"/>
    <w:rsid w:val="00456C1F"/>
    <w:rsid w:val="00457593"/>
    <w:rsid w:val="00467835"/>
    <w:rsid w:val="00475F3F"/>
    <w:rsid w:val="004860E8"/>
    <w:rsid w:val="004A3614"/>
    <w:rsid w:val="004B39C1"/>
    <w:rsid w:val="004D047C"/>
    <w:rsid w:val="004D2B45"/>
    <w:rsid w:val="005005E3"/>
    <w:rsid w:val="005129E4"/>
    <w:rsid w:val="0051431B"/>
    <w:rsid w:val="00523146"/>
    <w:rsid w:val="00533801"/>
    <w:rsid w:val="00536323"/>
    <w:rsid w:val="00540DA9"/>
    <w:rsid w:val="00546902"/>
    <w:rsid w:val="00555932"/>
    <w:rsid w:val="005566FC"/>
    <w:rsid w:val="00556BF5"/>
    <w:rsid w:val="00566259"/>
    <w:rsid w:val="0057177E"/>
    <w:rsid w:val="00573156"/>
    <w:rsid w:val="005825B4"/>
    <w:rsid w:val="00583CD5"/>
    <w:rsid w:val="00587D30"/>
    <w:rsid w:val="005936D2"/>
    <w:rsid w:val="005A1787"/>
    <w:rsid w:val="005A60FD"/>
    <w:rsid w:val="005B610C"/>
    <w:rsid w:val="005C51AF"/>
    <w:rsid w:val="005D702F"/>
    <w:rsid w:val="005E11F1"/>
    <w:rsid w:val="005F40D1"/>
    <w:rsid w:val="00602E70"/>
    <w:rsid w:val="0060529F"/>
    <w:rsid w:val="00605486"/>
    <w:rsid w:val="00611089"/>
    <w:rsid w:val="00612E55"/>
    <w:rsid w:val="006174A2"/>
    <w:rsid w:val="0062221C"/>
    <w:rsid w:val="00627FE9"/>
    <w:rsid w:val="0063683A"/>
    <w:rsid w:val="006463A1"/>
    <w:rsid w:val="00656298"/>
    <w:rsid w:val="006575A8"/>
    <w:rsid w:val="00663F64"/>
    <w:rsid w:val="006715C0"/>
    <w:rsid w:val="00683839"/>
    <w:rsid w:val="00684D95"/>
    <w:rsid w:val="0068597F"/>
    <w:rsid w:val="00696ABF"/>
    <w:rsid w:val="006B5577"/>
    <w:rsid w:val="006C4BA5"/>
    <w:rsid w:val="006C5AB4"/>
    <w:rsid w:val="006D40D7"/>
    <w:rsid w:val="006E0E88"/>
    <w:rsid w:val="006E0FE1"/>
    <w:rsid w:val="006E612A"/>
    <w:rsid w:val="006F0DF5"/>
    <w:rsid w:val="006F0E3D"/>
    <w:rsid w:val="006F1F07"/>
    <w:rsid w:val="007002C4"/>
    <w:rsid w:val="0071248E"/>
    <w:rsid w:val="00717A4C"/>
    <w:rsid w:val="00720620"/>
    <w:rsid w:val="00721BBE"/>
    <w:rsid w:val="00722BDF"/>
    <w:rsid w:val="00732CC4"/>
    <w:rsid w:val="00736077"/>
    <w:rsid w:val="00760149"/>
    <w:rsid w:val="00764142"/>
    <w:rsid w:val="0077000F"/>
    <w:rsid w:val="0077374B"/>
    <w:rsid w:val="0077688C"/>
    <w:rsid w:val="007830AB"/>
    <w:rsid w:val="00787FE3"/>
    <w:rsid w:val="007920D3"/>
    <w:rsid w:val="007A3862"/>
    <w:rsid w:val="007B2549"/>
    <w:rsid w:val="007B3891"/>
    <w:rsid w:val="007B552D"/>
    <w:rsid w:val="007B6C65"/>
    <w:rsid w:val="007C41D0"/>
    <w:rsid w:val="007C55F5"/>
    <w:rsid w:val="007E40D7"/>
    <w:rsid w:val="007F55AA"/>
    <w:rsid w:val="00800051"/>
    <w:rsid w:val="00800D3D"/>
    <w:rsid w:val="00804C17"/>
    <w:rsid w:val="00811002"/>
    <w:rsid w:val="00816491"/>
    <w:rsid w:val="008173E3"/>
    <w:rsid w:val="0082092E"/>
    <w:rsid w:val="00830D39"/>
    <w:rsid w:val="00842869"/>
    <w:rsid w:val="008436CA"/>
    <w:rsid w:val="00847BC0"/>
    <w:rsid w:val="0085316F"/>
    <w:rsid w:val="0085776A"/>
    <w:rsid w:val="00857DFC"/>
    <w:rsid w:val="00860EDD"/>
    <w:rsid w:val="00861391"/>
    <w:rsid w:val="008771DF"/>
    <w:rsid w:val="00880E64"/>
    <w:rsid w:val="00881B6D"/>
    <w:rsid w:val="0088247A"/>
    <w:rsid w:val="008841E0"/>
    <w:rsid w:val="008A4BC1"/>
    <w:rsid w:val="008B1231"/>
    <w:rsid w:val="008E0156"/>
    <w:rsid w:val="00901C71"/>
    <w:rsid w:val="009135BB"/>
    <w:rsid w:val="00920A66"/>
    <w:rsid w:val="00926545"/>
    <w:rsid w:val="00932276"/>
    <w:rsid w:val="00962FC9"/>
    <w:rsid w:val="00972B23"/>
    <w:rsid w:val="00973213"/>
    <w:rsid w:val="00982BF6"/>
    <w:rsid w:val="00983BD2"/>
    <w:rsid w:val="009847C6"/>
    <w:rsid w:val="00993DE2"/>
    <w:rsid w:val="009B482D"/>
    <w:rsid w:val="009D3EF2"/>
    <w:rsid w:val="009D5889"/>
    <w:rsid w:val="009E2D21"/>
    <w:rsid w:val="009E2FBA"/>
    <w:rsid w:val="009E37EB"/>
    <w:rsid w:val="009E6351"/>
    <w:rsid w:val="009E6486"/>
    <w:rsid w:val="009E7DC9"/>
    <w:rsid w:val="009F732A"/>
    <w:rsid w:val="009F7DB4"/>
    <w:rsid w:val="00A015B0"/>
    <w:rsid w:val="00A01C03"/>
    <w:rsid w:val="00A04158"/>
    <w:rsid w:val="00A10B67"/>
    <w:rsid w:val="00A10C0E"/>
    <w:rsid w:val="00A111BC"/>
    <w:rsid w:val="00A219BD"/>
    <w:rsid w:val="00A2274F"/>
    <w:rsid w:val="00A25677"/>
    <w:rsid w:val="00A2762B"/>
    <w:rsid w:val="00A32197"/>
    <w:rsid w:val="00A33049"/>
    <w:rsid w:val="00A34004"/>
    <w:rsid w:val="00A34ED3"/>
    <w:rsid w:val="00A433B0"/>
    <w:rsid w:val="00A47FAB"/>
    <w:rsid w:val="00A51168"/>
    <w:rsid w:val="00A607A3"/>
    <w:rsid w:val="00A66653"/>
    <w:rsid w:val="00A666E1"/>
    <w:rsid w:val="00A74C68"/>
    <w:rsid w:val="00A847AC"/>
    <w:rsid w:val="00A85429"/>
    <w:rsid w:val="00A96DB0"/>
    <w:rsid w:val="00AC6E8A"/>
    <w:rsid w:val="00AD0745"/>
    <w:rsid w:val="00AD287E"/>
    <w:rsid w:val="00AE0930"/>
    <w:rsid w:val="00AE1B76"/>
    <w:rsid w:val="00AE4CDC"/>
    <w:rsid w:val="00AE4D25"/>
    <w:rsid w:val="00AF511F"/>
    <w:rsid w:val="00B00790"/>
    <w:rsid w:val="00B14D7B"/>
    <w:rsid w:val="00B379E2"/>
    <w:rsid w:val="00B44854"/>
    <w:rsid w:val="00B535D7"/>
    <w:rsid w:val="00B62F4C"/>
    <w:rsid w:val="00B649AB"/>
    <w:rsid w:val="00B64C3F"/>
    <w:rsid w:val="00B93E7C"/>
    <w:rsid w:val="00BA39FB"/>
    <w:rsid w:val="00BD0698"/>
    <w:rsid w:val="00BF38A6"/>
    <w:rsid w:val="00C004B1"/>
    <w:rsid w:val="00C04868"/>
    <w:rsid w:val="00C05344"/>
    <w:rsid w:val="00C059B8"/>
    <w:rsid w:val="00C06F0F"/>
    <w:rsid w:val="00C1065C"/>
    <w:rsid w:val="00C16844"/>
    <w:rsid w:val="00C2134E"/>
    <w:rsid w:val="00C22E77"/>
    <w:rsid w:val="00C22F86"/>
    <w:rsid w:val="00C266AE"/>
    <w:rsid w:val="00C3480A"/>
    <w:rsid w:val="00C447DD"/>
    <w:rsid w:val="00C44FCE"/>
    <w:rsid w:val="00C635D0"/>
    <w:rsid w:val="00C65383"/>
    <w:rsid w:val="00C71670"/>
    <w:rsid w:val="00C74372"/>
    <w:rsid w:val="00C80A5D"/>
    <w:rsid w:val="00C940DB"/>
    <w:rsid w:val="00CD149A"/>
    <w:rsid w:val="00CD65DA"/>
    <w:rsid w:val="00CE2426"/>
    <w:rsid w:val="00D0655B"/>
    <w:rsid w:val="00D35CF8"/>
    <w:rsid w:val="00D42DF7"/>
    <w:rsid w:val="00D4301A"/>
    <w:rsid w:val="00D75FB0"/>
    <w:rsid w:val="00D93AEA"/>
    <w:rsid w:val="00D97AE2"/>
    <w:rsid w:val="00DA123B"/>
    <w:rsid w:val="00DA1869"/>
    <w:rsid w:val="00DA27B2"/>
    <w:rsid w:val="00DB1613"/>
    <w:rsid w:val="00DB71BB"/>
    <w:rsid w:val="00DB7251"/>
    <w:rsid w:val="00DC0B4A"/>
    <w:rsid w:val="00DC5E61"/>
    <w:rsid w:val="00DC6F36"/>
    <w:rsid w:val="00DE65FE"/>
    <w:rsid w:val="00DF5CB8"/>
    <w:rsid w:val="00E0156D"/>
    <w:rsid w:val="00E05F8A"/>
    <w:rsid w:val="00E16051"/>
    <w:rsid w:val="00E272C3"/>
    <w:rsid w:val="00E31C24"/>
    <w:rsid w:val="00E379FA"/>
    <w:rsid w:val="00E62900"/>
    <w:rsid w:val="00E64812"/>
    <w:rsid w:val="00E71361"/>
    <w:rsid w:val="00E800D3"/>
    <w:rsid w:val="00E8143A"/>
    <w:rsid w:val="00E841AF"/>
    <w:rsid w:val="00E94CA9"/>
    <w:rsid w:val="00EA002D"/>
    <w:rsid w:val="00EA7DC7"/>
    <w:rsid w:val="00EB2A4F"/>
    <w:rsid w:val="00ED4DA0"/>
    <w:rsid w:val="00EE01BC"/>
    <w:rsid w:val="00EE1946"/>
    <w:rsid w:val="00EE617F"/>
    <w:rsid w:val="00EF0E71"/>
    <w:rsid w:val="00F00A4F"/>
    <w:rsid w:val="00F017BC"/>
    <w:rsid w:val="00F04BBC"/>
    <w:rsid w:val="00F30E9A"/>
    <w:rsid w:val="00F3207C"/>
    <w:rsid w:val="00F33639"/>
    <w:rsid w:val="00F37EC9"/>
    <w:rsid w:val="00F41E08"/>
    <w:rsid w:val="00F46200"/>
    <w:rsid w:val="00F51B21"/>
    <w:rsid w:val="00F72509"/>
    <w:rsid w:val="00F7485E"/>
    <w:rsid w:val="00F75A39"/>
    <w:rsid w:val="00F856F4"/>
    <w:rsid w:val="00F95EF2"/>
    <w:rsid w:val="00FA7136"/>
    <w:rsid w:val="00FB6EA9"/>
    <w:rsid w:val="00FC6B76"/>
    <w:rsid w:val="00FD1E01"/>
    <w:rsid w:val="00FE4AF5"/>
    <w:rsid w:val="00FF405E"/>
    <w:rsid w:val="00FF4988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FCE"/>
    <w:rPr>
      <w:sz w:val="18"/>
      <w:szCs w:val="18"/>
    </w:rPr>
  </w:style>
  <w:style w:type="paragraph" w:styleId="a5">
    <w:name w:val="List Paragraph"/>
    <w:basedOn w:val="a"/>
    <w:uiPriority w:val="34"/>
    <w:qFormat/>
    <w:rsid w:val="00C06F0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1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1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FCE"/>
    <w:rPr>
      <w:sz w:val="18"/>
      <w:szCs w:val="18"/>
    </w:rPr>
  </w:style>
  <w:style w:type="paragraph" w:styleId="a5">
    <w:name w:val="List Paragraph"/>
    <w:basedOn w:val="a"/>
    <w:uiPriority w:val="34"/>
    <w:qFormat/>
    <w:rsid w:val="00C06F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6B41-8187-4E8C-B2E8-DCBC930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cp:lastPrinted>2018-10-16T03:03:00Z</cp:lastPrinted>
  <dcterms:created xsi:type="dcterms:W3CDTF">2018-09-29T05:11:00Z</dcterms:created>
  <dcterms:modified xsi:type="dcterms:W3CDTF">2018-10-16T06:13:00Z</dcterms:modified>
</cp:coreProperties>
</file>