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50F" w:rsidRPr="0029350F" w:rsidRDefault="0029350F" w:rsidP="0029350F">
      <w:pPr>
        <w:overflowPunct w:val="0"/>
        <w:spacing w:line="300" w:lineRule="exact"/>
        <w:rPr>
          <w:rFonts w:ascii="黑体" w:eastAsia="黑体" w:hAnsi="黑体"/>
          <w:spacing w:val="-20"/>
          <w:sz w:val="32"/>
          <w:szCs w:val="32"/>
        </w:rPr>
      </w:pPr>
      <w:r w:rsidRPr="0029350F">
        <w:rPr>
          <w:rFonts w:ascii="黑体" w:eastAsia="黑体" w:hAnsi="黑体" w:hint="eastAsia"/>
          <w:spacing w:val="-20"/>
          <w:sz w:val="32"/>
          <w:szCs w:val="32"/>
        </w:rPr>
        <w:t>内 部 文 件</w:t>
      </w:r>
    </w:p>
    <w:p w:rsidR="0029350F" w:rsidRPr="0029350F" w:rsidRDefault="0029350F" w:rsidP="0029350F">
      <w:pPr>
        <w:overflowPunct w:val="0"/>
        <w:spacing w:line="300" w:lineRule="exact"/>
        <w:rPr>
          <w:rFonts w:ascii="黑体" w:eastAsia="黑体" w:hAnsi="黑体"/>
          <w:spacing w:val="-20"/>
          <w:sz w:val="32"/>
          <w:szCs w:val="32"/>
        </w:rPr>
      </w:pPr>
    </w:p>
    <w:p w:rsidR="0029350F" w:rsidRPr="0029350F" w:rsidRDefault="0029350F" w:rsidP="0029350F">
      <w:pPr>
        <w:overflowPunct w:val="0"/>
        <w:spacing w:line="300" w:lineRule="exact"/>
        <w:rPr>
          <w:rFonts w:ascii="黑体" w:eastAsia="黑体" w:hAnsi="黑体"/>
          <w:spacing w:val="-20"/>
          <w:sz w:val="32"/>
          <w:szCs w:val="32"/>
        </w:rPr>
      </w:pPr>
      <w:r w:rsidRPr="0029350F">
        <w:rPr>
          <w:rFonts w:ascii="黑体" w:eastAsia="黑体" w:hAnsi="黑体" w:hint="eastAsia"/>
          <w:spacing w:val="-20"/>
          <w:sz w:val="32"/>
          <w:szCs w:val="32"/>
        </w:rPr>
        <w:t>注 意 保 存</w:t>
      </w:r>
    </w:p>
    <w:p w:rsidR="0029350F" w:rsidRPr="0029350F" w:rsidRDefault="0029350F" w:rsidP="0029350F">
      <w:pPr>
        <w:overflowPunct w:val="0"/>
        <w:spacing w:line="300" w:lineRule="exact"/>
        <w:rPr>
          <w:rFonts w:ascii="黑体" w:eastAsia="黑体" w:hAnsi="黑体"/>
          <w:spacing w:val="-20"/>
          <w:sz w:val="32"/>
          <w:szCs w:val="32"/>
        </w:rPr>
      </w:pPr>
    </w:p>
    <w:p w:rsidR="0029350F" w:rsidRDefault="0029350F" w:rsidP="0029350F">
      <w:pPr>
        <w:overflowPunct w:val="0"/>
        <w:spacing w:line="300" w:lineRule="exact"/>
        <w:rPr>
          <w:rFonts w:ascii="黑体" w:eastAsia="黑体" w:hAnsi="黑体"/>
          <w:spacing w:val="-20"/>
          <w:szCs w:val="32"/>
        </w:rPr>
      </w:pPr>
    </w:p>
    <w:p w:rsidR="0029350F" w:rsidRPr="0029350F" w:rsidRDefault="0029350F" w:rsidP="0029350F">
      <w:pPr>
        <w:jc w:val="center"/>
        <w:rPr>
          <w:rFonts w:ascii="方正小标宋_GBK" w:eastAsia="方正小标宋_GBK"/>
          <w:color w:val="FF0000"/>
          <w:spacing w:val="40"/>
          <w:w w:val="55"/>
          <w:sz w:val="110"/>
          <w:szCs w:val="110"/>
        </w:rPr>
      </w:pPr>
      <w:r w:rsidRPr="00A7349D">
        <w:rPr>
          <w:rFonts w:ascii="方正小标宋_GBK" w:eastAsia="方正小标宋_GBK" w:hint="eastAsia"/>
          <w:color w:val="FF0000"/>
          <w:spacing w:val="40"/>
          <w:w w:val="55"/>
          <w:sz w:val="110"/>
          <w:szCs w:val="110"/>
        </w:rPr>
        <w:t>吉林省长春市中级人民法院</w:t>
      </w:r>
    </w:p>
    <w:p w:rsidR="009B75EB" w:rsidRDefault="0029350F" w:rsidP="009B75EB">
      <w:pPr>
        <w:overflowPunct w:val="0"/>
        <w:spacing w:line="1100" w:lineRule="exact"/>
        <w:jc w:val="center"/>
        <w:rPr>
          <w:rFonts w:ascii="仿宋_GB2312" w:eastAsia="仿宋_GB2312" w:hAnsi="仿宋" w:hint="eastAsia"/>
          <w:sz w:val="32"/>
          <w:szCs w:val="32"/>
        </w:rPr>
      </w:pPr>
      <w:r w:rsidRPr="00401A45">
        <w:rPr>
          <w:rFonts w:ascii="仿宋_GB2312" w:eastAsia="仿宋_GB2312" w:hint="eastAsia"/>
          <w:sz w:val="32"/>
          <w:szCs w:val="32"/>
        </w:rPr>
        <w:t>长中法</w:t>
      </w:r>
      <w:r w:rsidRPr="00401A45">
        <w:rPr>
          <w:rFonts w:ascii="仿宋_GB2312" w:eastAsia="仿宋_GB2312" w:hAnsi="仿宋" w:hint="eastAsia"/>
          <w:sz w:val="32"/>
          <w:szCs w:val="32"/>
        </w:rPr>
        <w:t>〔</w:t>
      </w:r>
      <w:r>
        <w:rPr>
          <w:rFonts w:ascii="仿宋_GB2312" w:eastAsia="仿宋_GB2312" w:hAnsi="仿宋" w:hint="eastAsia"/>
          <w:sz w:val="32"/>
          <w:szCs w:val="32"/>
        </w:rPr>
        <w:t>2018</w:t>
      </w:r>
      <w:r w:rsidRPr="00401A45">
        <w:rPr>
          <w:rFonts w:ascii="仿宋_GB2312" w:eastAsia="仿宋_GB2312" w:hAnsi="仿宋" w:hint="eastAsia"/>
          <w:sz w:val="32"/>
          <w:szCs w:val="32"/>
        </w:rPr>
        <w:t>〕</w:t>
      </w:r>
      <w:r w:rsidR="00392359">
        <w:rPr>
          <w:rFonts w:ascii="仿宋_GB2312" w:eastAsia="仿宋_GB2312" w:hAnsi="仿宋" w:hint="eastAsia"/>
          <w:sz w:val="32"/>
          <w:szCs w:val="32"/>
        </w:rPr>
        <w:t>133</w:t>
      </w:r>
      <w:r w:rsidRPr="00401A45">
        <w:rPr>
          <w:rFonts w:ascii="仿宋_GB2312" w:eastAsia="仿宋_GB2312" w:hAnsi="仿宋" w:hint="eastAsia"/>
          <w:sz w:val="32"/>
          <w:szCs w:val="32"/>
        </w:rPr>
        <w:t>号</w:t>
      </w:r>
    </w:p>
    <w:p w:rsidR="0029350F" w:rsidRPr="009B75EB" w:rsidRDefault="00F23286" w:rsidP="009B75EB">
      <w:pPr>
        <w:overflowPunct w:val="0"/>
        <w:spacing w:line="1100" w:lineRule="exact"/>
        <w:jc w:val="center"/>
        <w:rPr>
          <w:rFonts w:ascii="仿宋_GB2312" w:eastAsia="仿宋_GB2312" w:hAnsi="仿宋"/>
          <w:sz w:val="32"/>
          <w:szCs w:val="32"/>
        </w:rPr>
      </w:pPr>
      <w:r w:rsidRPr="00F23286">
        <w:rPr>
          <w:rFonts w:ascii="方正仿宋_GBK" w:hAnsi="宋体"/>
          <w:noProof/>
          <w:position w:val="12"/>
          <w:szCs w:val="32"/>
        </w:rPr>
        <w:pict>
          <v:shapetype id="_x0000_t32" coordsize="21600,21600" o:spt="32" o:oned="t" path="m,l21600,21600e" filled="f">
            <v:path arrowok="t" fillok="f" o:connecttype="none"/>
            <o:lock v:ext="edit" shapetype="t"/>
          </v:shapetype>
          <v:shape id="_x0000_s2050" type="#_x0000_t32" style="position:absolute;left:0;text-align:left;margin-left:59.2pt;margin-top:243.65pt;width:467.7pt;height:.05pt;z-index:-251658752;mso-position-horizontal-relative:page;mso-position-vertical-relative:margin" o:connectortype="straight" strokecolor="red" strokeweight="2.25pt">
            <w10:wrap anchorx="page" anchory="margin"/>
          </v:shape>
        </w:pict>
      </w:r>
    </w:p>
    <w:p w:rsidR="00392359" w:rsidRDefault="00392359" w:rsidP="00392359">
      <w:pPr>
        <w:jc w:val="center"/>
        <w:rPr>
          <w:rFonts w:ascii="黑体" w:eastAsia="黑体"/>
          <w:sz w:val="44"/>
          <w:szCs w:val="44"/>
        </w:rPr>
      </w:pPr>
      <w:r>
        <w:rPr>
          <w:rFonts w:ascii="黑体" w:eastAsia="黑体" w:hint="eastAsia"/>
          <w:sz w:val="44"/>
          <w:szCs w:val="44"/>
        </w:rPr>
        <w:t>长春市中级人民法院机关</w:t>
      </w:r>
    </w:p>
    <w:p w:rsidR="00392359" w:rsidRDefault="00392359" w:rsidP="00392359">
      <w:pPr>
        <w:jc w:val="center"/>
        <w:rPr>
          <w:rFonts w:ascii="黑体" w:eastAsia="黑体"/>
          <w:sz w:val="44"/>
          <w:szCs w:val="44"/>
        </w:rPr>
      </w:pPr>
      <w:r>
        <w:rPr>
          <w:rFonts w:ascii="黑体" w:eastAsia="黑体" w:hint="eastAsia"/>
          <w:sz w:val="44"/>
          <w:szCs w:val="44"/>
        </w:rPr>
        <w:t>电子卷宗随案同步生成及深度应用</w:t>
      </w:r>
    </w:p>
    <w:p w:rsidR="00F66E23" w:rsidRPr="0029350F" w:rsidRDefault="00392359" w:rsidP="00392359">
      <w:pPr>
        <w:adjustRightInd w:val="0"/>
        <w:snapToGrid w:val="0"/>
        <w:spacing w:line="640" w:lineRule="exact"/>
        <w:jc w:val="center"/>
        <w:rPr>
          <w:rFonts w:ascii="方正小标宋_GBK" w:eastAsia="方正小标宋_GBK" w:hAnsi="黑体"/>
          <w:sz w:val="44"/>
          <w:szCs w:val="44"/>
        </w:rPr>
      </w:pPr>
      <w:r>
        <w:rPr>
          <w:rFonts w:ascii="黑体" w:eastAsia="黑体" w:hint="eastAsia"/>
          <w:sz w:val="44"/>
          <w:szCs w:val="44"/>
        </w:rPr>
        <w:t>管理规范（试行）</w:t>
      </w:r>
    </w:p>
    <w:p w:rsidR="00392359" w:rsidRDefault="00392359" w:rsidP="00392359">
      <w:pPr>
        <w:spacing w:line="640" w:lineRule="exact"/>
        <w:rPr>
          <w:rFonts w:ascii="方正小标宋_GBK" w:eastAsia="方正小标宋_GBK" w:hint="eastAsia"/>
          <w:sz w:val="32"/>
          <w:szCs w:val="32"/>
        </w:rPr>
      </w:pPr>
    </w:p>
    <w:p w:rsidR="009B75EB" w:rsidRPr="0029350F" w:rsidRDefault="009B75EB" w:rsidP="00392359">
      <w:pPr>
        <w:spacing w:line="640" w:lineRule="exact"/>
        <w:rPr>
          <w:rFonts w:ascii="方正小标宋_GBK" w:eastAsia="方正小标宋_GBK"/>
          <w:sz w:val="32"/>
          <w:szCs w:val="32"/>
        </w:rPr>
      </w:pPr>
    </w:p>
    <w:p w:rsidR="00392359" w:rsidRDefault="00392359" w:rsidP="00392359">
      <w:pPr>
        <w:ind w:firstLineChars="200" w:firstLine="643"/>
        <w:rPr>
          <w:rFonts w:ascii="仿宋_GB2312" w:eastAsia="仿宋_GB2312" w:hAnsi="宋体" w:cs="宋体"/>
          <w:b/>
          <w:kern w:val="0"/>
          <w:sz w:val="32"/>
          <w:szCs w:val="32"/>
        </w:rPr>
      </w:pPr>
      <w:r>
        <w:rPr>
          <w:rFonts w:ascii="仿宋_GB2312" w:eastAsia="仿宋_GB2312" w:hAnsi="宋体" w:cs="宋体" w:hint="eastAsia"/>
          <w:b/>
          <w:kern w:val="0"/>
          <w:sz w:val="32"/>
          <w:szCs w:val="32"/>
        </w:rPr>
        <w:t xml:space="preserve">第一条  </w:t>
      </w:r>
      <w:r>
        <w:rPr>
          <w:rFonts w:eastAsia="仿宋_GB2312" w:hint="eastAsia"/>
          <w:sz w:val="32"/>
          <w:szCs w:val="32"/>
        </w:rPr>
        <w:t>为确保电子卷宗随案同步生成及深度应用规范、有序运行，</w:t>
      </w:r>
      <w:r>
        <w:rPr>
          <w:rFonts w:ascii="仿宋_GB2312" w:eastAsia="仿宋_GB2312" w:hint="eastAsia"/>
          <w:sz w:val="32"/>
          <w:szCs w:val="32"/>
        </w:rPr>
        <w:t>根据《最高人民法院关于全面推进人民法院电子卷宗随案同步生成及深度应用指导意见》、</w:t>
      </w:r>
      <w:r>
        <w:rPr>
          <w:rFonts w:eastAsia="仿宋_GB2312" w:hint="eastAsia"/>
          <w:sz w:val="32"/>
          <w:szCs w:val="32"/>
        </w:rPr>
        <w:t>《最高人民法院关于进一步加快推进电子卷宗随案同步生成及深度应用工作的通知》以及《吉林省高级人民法院机关电子卷宗随案同步生成及深度应用管理规范（试行）》，结</w:t>
      </w:r>
      <w:r>
        <w:rPr>
          <w:rFonts w:ascii="仿宋_GB2312" w:eastAsia="仿宋_GB2312" w:hint="eastAsia"/>
          <w:sz w:val="32"/>
          <w:szCs w:val="32"/>
        </w:rPr>
        <w:t>合审判工作实际</w:t>
      </w:r>
      <w:r>
        <w:rPr>
          <w:rFonts w:ascii="仿宋_GB2312" w:eastAsia="仿宋_GB2312" w:hint="eastAsia"/>
          <w:color w:val="000000"/>
          <w:sz w:val="32"/>
          <w:szCs w:val="32"/>
        </w:rPr>
        <w:t>，制定本规范。</w:t>
      </w:r>
    </w:p>
    <w:p w:rsidR="00392359" w:rsidRDefault="00392359" w:rsidP="00392359">
      <w:pPr>
        <w:adjustRightInd w:val="0"/>
        <w:snapToGrid w:val="0"/>
        <w:spacing w:line="594" w:lineRule="exact"/>
        <w:ind w:firstLineChars="200" w:firstLine="643"/>
        <w:rPr>
          <w:rFonts w:ascii="仿宋_GB2312" w:eastAsia="仿宋_GB2312"/>
          <w:snapToGrid w:val="0"/>
          <w:kern w:val="0"/>
          <w:sz w:val="32"/>
          <w:szCs w:val="32"/>
        </w:rPr>
      </w:pPr>
      <w:r>
        <w:rPr>
          <w:rFonts w:ascii="仿宋_GB2312" w:eastAsia="仿宋_GB2312" w:hAnsi="宋体" w:cs="宋体" w:hint="eastAsia"/>
          <w:b/>
          <w:kern w:val="0"/>
          <w:sz w:val="32"/>
          <w:szCs w:val="32"/>
        </w:rPr>
        <w:lastRenderedPageBreak/>
        <w:t xml:space="preserve">第二条  </w:t>
      </w:r>
      <w:r>
        <w:rPr>
          <w:rFonts w:ascii="仿宋_GB2312" w:eastAsia="仿宋_GB2312" w:hint="eastAsia"/>
          <w:snapToGrid w:val="0"/>
          <w:kern w:val="0"/>
          <w:sz w:val="32"/>
          <w:szCs w:val="32"/>
        </w:rPr>
        <w:t>市中院信息化工作领导小组负责统筹落实电子卷宗随案同步生成及深度应用工作，具体履行以下职责：</w:t>
      </w:r>
    </w:p>
    <w:p w:rsidR="00392359" w:rsidRDefault="00392359" w:rsidP="00392359">
      <w:pPr>
        <w:adjustRightInd w:val="0"/>
        <w:snapToGrid w:val="0"/>
        <w:spacing w:line="594"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（1）统筹规划工作方案、细化责任分工、确定完成时限、明确工作部署；</w:t>
      </w:r>
    </w:p>
    <w:p w:rsidR="00392359" w:rsidRDefault="00392359" w:rsidP="00392359">
      <w:pPr>
        <w:adjustRightInd w:val="0"/>
        <w:snapToGrid w:val="0"/>
        <w:spacing w:line="594"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（2）组织研究制定电子卷宗随案同步生成及深度应用规范性文件；</w:t>
      </w:r>
    </w:p>
    <w:p w:rsidR="00392359" w:rsidRDefault="00392359" w:rsidP="00392359">
      <w:pPr>
        <w:adjustRightInd w:val="0"/>
        <w:snapToGrid w:val="0"/>
        <w:spacing w:line="594"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（3）组织推进、监督指导电子卷宗随案同步生成及深度应用；</w:t>
      </w:r>
    </w:p>
    <w:p w:rsidR="00392359" w:rsidRDefault="00392359" w:rsidP="00392359">
      <w:pPr>
        <w:adjustRightInd w:val="0"/>
        <w:snapToGrid w:val="0"/>
        <w:spacing w:line="594"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（4）研究解决电子卷宗随案同步生成及深度应用过程中存在的实际问题；</w:t>
      </w:r>
    </w:p>
    <w:p w:rsidR="00392359" w:rsidRDefault="00392359" w:rsidP="00392359">
      <w:pPr>
        <w:adjustRightInd w:val="0"/>
        <w:snapToGrid w:val="0"/>
        <w:spacing w:line="594"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（5）协调落实技术、培训、资金、人力保障等工作；</w:t>
      </w:r>
    </w:p>
    <w:p w:rsidR="00392359" w:rsidRDefault="00392359" w:rsidP="00392359">
      <w:pPr>
        <w:adjustRightInd w:val="0"/>
        <w:snapToGrid w:val="0"/>
        <w:spacing w:line="594" w:lineRule="exact"/>
        <w:ind w:firstLineChars="200" w:firstLine="640"/>
        <w:rPr>
          <w:rFonts w:ascii="仿宋_GB2312" w:eastAsia="仿宋_GB2312"/>
          <w:snapToGrid w:val="0"/>
          <w:kern w:val="0"/>
          <w:sz w:val="32"/>
          <w:szCs w:val="32"/>
        </w:rPr>
      </w:pPr>
      <w:r>
        <w:rPr>
          <w:rFonts w:ascii="仿宋_GB2312" w:eastAsia="仿宋_GB2312" w:hint="eastAsia"/>
          <w:snapToGrid w:val="0"/>
          <w:kern w:val="0"/>
          <w:sz w:val="32"/>
          <w:szCs w:val="32"/>
        </w:rPr>
        <w:t>（6）其他相关工作。</w:t>
      </w:r>
    </w:p>
    <w:p w:rsidR="00392359" w:rsidRDefault="00392359" w:rsidP="00392359">
      <w:pPr>
        <w:ind w:firstLineChars="246" w:firstLine="790"/>
        <w:rPr>
          <w:rFonts w:ascii="仿宋_GB2312" w:eastAsia="仿宋_GB2312"/>
          <w:sz w:val="32"/>
          <w:szCs w:val="32"/>
        </w:rPr>
      </w:pPr>
      <w:r>
        <w:rPr>
          <w:rFonts w:ascii="仿宋_GB2312" w:eastAsia="仿宋_GB2312" w:hAnsi="宋体" w:cs="宋体" w:hint="eastAsia"/>
          <w:b/>
          <w:kern w:val="0"/>
          <w:sz w:val="32"/>
          <w:szCs w:val="32"/>
        </w:rPr>
        <w:t xml:space="preserve">第三条  </w:t>
      </w:r>
      <w:r>
        <w:rPr>
          <w:rFonts w:ascii="仿宋_GB2312" w:eastAsia="仿宋_GB2312" w:hint="eastAsia"/>
          <w:snapToGrid w:val="0"/>
          <w:kern w:val="0"/>
          <w:sz w:val="32"/>
          <w:szCs w:val="32"/>
        </w:rPr>
        <w:t>各相关部门应当各尽其职，各负其责，形成合力，共同推进电子卷宗随案同步生成及深度应用工作。</w:t>
      </w:r>
    </w:p>
    <w:p w:rsidR="00392359" w:rsidRDefault="00392359" w:rsidP="00392359">
      <w:pPr>
        <w:ind w:firstLineChars="200" w:firstLine="640"/>
        <w:rPr>
          <w:rFonts w:ascii="仿宋_GB2312" w:eastAsia="仿宋_GB2312"/>
          <w:sz w:val="32"/>
          <w:szCs w:val="32"/>
        </w:rPr>
      </w:pPr>
      <w:r>
        <w:rPr>
          <w:rFonts w:ascii="仿宋_GB2312" w:eastAsia="仿宋_GB2312" w:hint="eastAsia"/>
          <w:sz w:val="32"/>
          <w:szCs w:val="32"/>
        </w:rPr>
        <w:t>1.立案部门负责立案阶段电子卷宗同步扫描、挂载系统和深度应用工作。</w:t>
      </w:r>
    </w:p>
    <w:p w:rsidR="00392359" w:rsidRDefault="00392359" w:rsidP="00392359">
      <w:pPr>
        <w:ind w:firstLineChars="200" w:firstLine="640"/>
        <w:rPr>
          <w:rFonts w:ascii="仿宋_GB2312" w:eastAsia="仿宋_GB2312"/>
          <w:sz w:val="32"/>
          <w:szCs w:val="32"/>
        </w:rPr>
      </w:pPr>
      <w:r>
        <w:rPr>
          <w:rFonts w:ascii="仿宋_GB2312" w:eastAsia="仿宋_GB2312" w:hint="eastAsia"/>
          <w:sz w:val="32"/>
          <w:szCs w:val="32"/>
        </w:rPr>
        <w:t>2.审判业务部门负责审判阶段的电子卷宗同步扫描、挂载系统和深度应用工作。</w:t>
      </w:r>
    </w:p>
    <w:p w:rsidR="00392359" w:rsidRDefault="00392359" w:rsidP="00392359">
      <w:pPr>
        <w:ind w:firstLineChars="200" w:firstLine="640"/>
        <w:rPr>
          <w:rFonts w:ascii="仿宋_GB2312" w:eastAsia="仿宋_GB2312"/>
          <w:sz w:val="32"/>
          <w:szCs w:val="32"/>
        </w:rPr>
      </w:pPr>
      <w:r>
        <w:rPr>
          <w:rFonts w:ascii="仿宋_GB2312" w:eastAsia="仿宋_GB2312" w:hint="eastAsia"/>
          <w:sz w:val="32"/>
          <w:szCs w:val="32"/>
        </w:rPr>
        <w:t>3.档案管理部门负责电子卷宗的归档管理。结案案件归档前，档案管理人员负责对归档电子卷宗检查核对，确保电子卷宗和纸质卷宗完全一致，并实现电子卷宗与电子归档无缝对接。</w:t>
      </w:r>
    </w:p>
    <w:p w:rsidR="00392359" w:rsidRDefault="00392359" w:rsidP="00392359">
      <w:pPr>
        <w:ind w:firstLineChars="200" w:firstLine="640"/>
        <w:rPr>
          <w:rFonts w:ascii="仿宋_GB2312" w:eastAsia="仿宋_GB2312"/>
          <w:sz w:val="32"/>
          <w:szCs w:val="32"/>
        </w:rPr>
      </w:pPr>
      <w:r>
        <w:rPr>
          <w:rFonts w:ascii="仿宋_GB2312" w:eastAsia="仿宋_GB2312" w:hint="eastAsia"/>
          <w:sz w:val="32"/>
          <w:szCs w:val="32"/>
        </w:rPr>
        <w:lastRenderedPageBreak/>
        <w:t>4.技术部门负责电子卷宗随案同步生成及深度应用的软硬件配置调试、技术指导及精准培训。</w:t>
      </w:r>
    </w:p>
    <w:p w:rsidR="00392359" w:rsidRDefault="00392359" w:rsidP="00392359">
      <w:pPr>
        <w:ind w:firstLineChars="200" w:firstLine="640"/>
        <w:rPr>
          <w:rFonts w:ascii="仿宋_GB2312" w:eastAsia="仿宋_GB2312"/>
          <w:sz w:val="32"/>
          <w:szCs w:val="32"/>
        </w:rPr>
      </w:pPr>
      <w:r>
        <w:rPr>
          <w:rFonts w:ascii="仿宋_GB2312" w:eastAsia="仿宋_GB2312" w:hint="eastAsia"/>
          <w:sz w:val="32"/>
          <w:szCs w:val="32"/>
        </w:rPr>
        <w:t>5.审判管理部门负责电子卷宗随案同步生成及深度应用的规范指引、绩效考核等工作。</w:t>
      </w:r>
    </w:p>
    <w:p w:rsidR="00392359" w:rsidRDefault="00392359" w:rsidP="00392359">
      <w:pPr>
        <w:ind w:firstLineChars="200" w:firstLine="640"/>
        <w:rPr>
          <w:rFonts w:ascii="仿宋_GB2312" w:eastAsia="仿宋_GB2312"/>
          <w:sz w:val="32"/>
          <w:szCs w:val="32"/>
        </w:rPr>
      </w:pPr>
      <w:r>
        <w:rPr>
          <w:rFonts w:ascii="仿宋_GB2312" w:eastAsia="仿宋_GB2312" w:hint="eastAsia"/>
          <w:sz w:val="32"/>
          <w:szCs w:val="32"/>
        </w:rPr>
        <w:t>6.行政装备部门负责电子卷宗软硬件设备的资金保障、采购招标等工作。</w:t>
      </w:r>
    </w:p>
    <w:p w:rsidR="00392359" w:rsidRDefault="00392359" w:rsidP="00392359">
      <w:pPr>
        <w:ind w:firstLineChars="200" w:firstLine="640"/>
        <w:rPr>
          <w:rFonts w:ascii="仿宋_GB2312" w:eastAsia="仿宋_GB2312"/>
          <w:sz w:val="32"/>
          <w:szCs w:val="32"/>
        </w:rPr>
      </w:pPr>
      <w:r>
        <w:rPr>
          <w:rFonts w:ascii="仿宋_GB2312" w:eastAsia="仿宋_GB2312" w:hint="eastAsia"/>
          <w:sz w:val="32"/>
          <w:szCs w:val="32"/>
        </w:rPr>
        <w:t>7.宣传部门负责电子卷宗随案同步生成和深度应用工作的宣传报道工作。</w:t>
      </w:r>
    </w:p>
    <w:p w:rsidR="00392359" w:rsidRDefault="00392359" w:rsidP="00392359">
      <w:pPr>
        <w:ind w:firstLineChars="200" w:firstLine="640"/>
        <w:rPr>
          <w:rFonts w:ascii="仿宋_GB2312" w:eastAsia="仿宋_GB2312"/>
          <w:sz w:val="32"/>
          <w:szCs w:val="32"/>
        </w:rPr>
      </w:pPr>
      <w:r>
        <w:rPr>
          <w:rFonts w:ascii="仿宋_GB2312" w:eastAsia="仿宋_GB2312" w:hint="eastAsia"/>
          <w:sz w:val="32"/>
          <w:szCs w:val="32"/>
        </w:rPr>
        <w:t>8.干部管理部门负责对电子卷宗随案同步生成及深度应用工作人力资源配置工作。</w:t>
      </w:r>
    </w:p>
    <w:p w:rsidR="00392359" w:rsidRDefault="00392359" w:rsidP="00392359">
      <w:pPr>
        <w:ind w:firstLineChars="200" w:firstLine="640"/>
        <w:rPr>
          <w:rFonts w:ascii="仿宋_GB2312" w:eastAsia="仿宋_GB2312"/>
          <w:sz w:val="32"/>
          <w:szCs w:val="32"/>
        </w:rPr>
      </w:pPr>
      <w:r>
        <w:rPr>
          <w:rFonts w:ascii="仿宋_GB2312" w:eastAsia="仿宋_GB2312" w:hint="eastAsia"/>
          <w:sz w:val="32"/>
          <w:szCs w:val="32"/>
        </w:rPr>
        <w:t>9.信息化领导小组办公室负责电子卷宗随案同步生成及深度应用统筹规划、任务分解、时限设定、组织落实等全面工作。</w:t>
      </w:r>
    </w:p>
    <w:p w:rsidR="00392359" w:rsidRDefault="00392359" w:rsidP="00392359">
      <w:pPr>
        <w:ind w:firstLineChars="200" w:firstLine="643"/>
        <w:rPr>
          <w:rFonts w:ascii="仿宋_GB2312" w:eastAsia="仿宋_GB2312"/>
          <w:snapToGrid w:val="0"/>
          <w:kern w:val="0"/>
          <w:sz w:val="32"/>
          <w:szCs w:val="32"/>
        </w:rPr>
      </w:pPr>
      <w:r>
        <w:rPr>
          <w:rFonts w:ascii="仿宋_GB2312" w:eastAsia="仿宋_GB2312" w:hAnsi="宋体" w:cs="宋体" w:hint="eastAsia"/>
          <w:b/>
          <w:kern w:val="0"/>
          <w:sz w:val="32"/>
          <w:szCs w:val="32"/>
        </w:rPr>
        <w:t xml:space="preserve">第四条  </w:t>
      </w:r>
      <w:r>
        <w:rPr>
          <w:rFonts w:ascii="仿宋_GB2312" w:eastAsia="仿宋_GB2312" w:hint="eastAsia"/>
          <w:snapToGrid w:val="0"/>
          <w:kern w:val="0"/>
          <w:sz w:val="32"/>
          <w:szCs w:val="32"/>
        </w:rPr>
        <w:t>电子卷宗的真实性、完整性是电子卷宗随案同步生成及深度应用的基本要求，各审判业务部门应当对本部门诉讼环节的电子卷宗质量负责。</w:t>
      </w:r>
    </w:p>
    <w:p w:rsidR="00392359" w:rsidRDefault="00392359" w:rsidP="00392359">
      <w:pPr>
        <w:ind w:firstLineChars="200" w:firstLine="643"/>
        <w:rPr>
          <w:rFonts w:ascii="仿宋_GB2312" w:eastAsia="仿宋_GB2312"/>
          <w:sz w:val="32"/>
          <w:szCs w:val="32"/>
        </w:rPr>
      </w:pPr>
      <w:r>
        <w:rPr>
          <w:rFonts w:ascii="仿宋_GB2312" w:eastAsia="仿宋_GB2312" w:hAnsi="宋体" w:cs="宋体" w:hint="eastAsia"/>
          <w:b/>
          <w:kern w:val="0"/>
          <w:sz w:val="32"/>
          <w:szCs w:val="32"/>
        </w:rPr>
        <w:t xml:space="preserve">第五条  </w:t>
      </w:r>
      <w:r>
        <w:rPr>
          <w:rFonts w:ascii="仿宋_GB2312" w:eastAsia="仿宋_GB2312" w:hint="eastAsia"/>
          <w:sz w:val="32"/>
          <w:szCs w:val="32"/>
        </w:rPr>
        <w:t>电子卷宗应用应当遵循安全保密、高效便捷的原则，应用方式应当采取通过网络传输提供在线阅览。</w:t>
      </w:r>
    </w:p>
    <w:p w:rsidR="00392359" w:rsidRDefault="00392359" w:rsidP="00392359">
      <w:pPr>
        <w:spacing w:line="360" w:lineRule="auto"/>
        <w:ind w:firstLineChars="200" w:firstLine="643"/>
        <w:rPr>
          <w:rFonts w:ascii="仿宋_GB2312" w:eastAsia="仿宋_GB2312" w:hAnsi="仿宋"/>
          <w:sz w:val="32"/>
          <w:szCs w:val="32"/>
        </w:rPr>
      </w:pPr>
      <w:r>
        <w:rPr>
          <w:rFonts w:ascii="仿宋_GB2312" w:eastAsia="仿宋_GB2312" w:hAnsi="宋体" w:cs="宋体" w:hint="eastAsia"/>
          <w:b/>
          <w:kern w:val="0"/>
          <w:sz w:val="32"/>
          <w:szCs w:val="32"/>
        </w:rPr>
        <w:t>第六条</w:t>
      </w:r>
      <w:r>
        <w:rPr>
          <w:rFonts w:ascii="仿宋_GB2312" w:eastAsia="仿宋_GB2312" w:hAnsi="仿宋" w:hint="eastAsia"/>
          <w:sz w:val="32"/>
          <w:szCs w:val="32"/>
        </w:rPr>
        <w:t xml:space="preserve">  向上级法院移送上诉、申诉、申请再审、再审案件卷宗或者向上级法院请示案件应当采取网上移送的方式，上级法院通过系统接收，必须确保移送的电子卷宗与纸质卷宗完全一致。</w:t>
      </w:r>
    </w:p>
    <w:p w:rsidR="00392359" w:rsidRDefault="00392359" w:rsidP="00392359">
      <w:pPr>
        <w:ind w:firstLineChars="200" w:firstLine="643"/>
        <w:rPr>
          <w:rFonts w:ascii="仿宋_GB2312" w:eastAsia="仿宋_GB2312"/>
          <w:sz w:val="32"/>
          <w:szCs w:val="32"/>
        </w:rPr>
      </w:pPr>
      <w:r>
        <w:rPr>
          <w:rFonts w:ascii="仿宋_GB2312" w:eastAsia="仿宋_GB2312" w:hAnsi="宋体" w:cs="宋体" w:hint="eastAsia"/>
          <w:b/>
          <w:kern w:val="0"/>
          <w:sz w:val="32"/>
          <w:szCs w:val="32"/>
        </w:rPr>
        <w:lastRenderedPageBreak/>
        <w:t xml:space="preserve">第七条  </w:t>
      </w:r>
      <w:r>
        <w:rPr>
          <w:rFonts w:ascii="仿宋_GB2312" w:eastAsia="仿宋_GB2312" w:hAnsi="宋体" w:cs="宋体" w:hint="eastAsia"/>
          <w:kern w:val="0"/>
          <w:sz w:val="32"/>
          <w:szCs w:val="32"/>
        </w:rPr>
        <w:t>各审判业务部门</w:t>
      </w:r>
      <w:r>
        <w:rPr>
          <w:rFonts w:ascii="仿宋_GB2312" w:eastAsia="仿宋_GB2312" w:hint="eastAsia"/>
          <w:sz w:val="32"/>
          <w:szCs w:val="32"/>
        </w:rPr>
        <w:t>应当对电子卷宗阅览权限进行严格把控，尚未审结案件的电子卷宗原则上限于合议庭成员查阅，其他人员查阅电子卷宗需严格履行审批程序，并全程留痕。</w:t>
      </w:r>
    </w:p>
    <w:p w:rsidR="00392359" w:rsidRDefault="00392359" w:rsidP="00392359">
      <w:pPr>
        <w:spacing w:line="360" w:lineRule="auto"/>
        <w:ind w:firstLineChars="200" w:firstLine="643"/>
        <w:rPr>
          <w:rFonts w:ascii="仿宋_GB2312" w:eastAsia="仿宋_GB2312" w:hAnsi="仿宋"/>
          <w:sz w:val="32"/>
          <w:szCs w:val="32"/>
        </w:rPr>
      </w:pPr>
      <w:r>
        <w:rPr>
          <w:rFonts w:ascii="仿宋_GB2312" w:eastAsia="仿宋_GB2312" w:hAnsi="宋体" w:cs="宋体" w:hint="eastAsia"/>
          <w:b/>
          <w:kern w:val="0"/>
          <w:sz w:val="32"/>
          <w:szCs w:val="32"/>
        </w:rPr>
        <w:t xml:space="preserve">第八条  </w:t>
      </w:r>
      <w:r>
        <w:rPr>
          <w:rFonts w:ascii="仿宋_GB2312" w:eastAsia="仿宋_GB2312" w:hAnsi="仿宋" w:hint="eastAsia"/>
          <w:sz w:val="32"/>
          <w:szCs w:val="32"/>
        </w:rPr>
        <w:t>审判管理部门开展网上案件评查，发现电子卷宗与纸质卷宗不一致的，应当督促办案法官完善。</w:t>
      </w:r>
    </w:p>
    <w:p w:rsidR="00392359" w:rsidRDefault="00392359" w:rsidP="00392359">
      <w:pPr>
        <w:adjustRightInd w:val="0"/>
        <w:snapToGrid w:val="0"/>
        <w:spacing w:line="594" w:lineRule="exact"/>
        <w:ind w:firstLineChars="200" w:firstLine="643"/>
        <w:rPr>
          <w:rFonts w:ascii="仿宋_GB2312" w:eastAsia="仿宋_GB2312"/>
          <w:snapToGrid w:val="0"/>
          <w:kern w:val="0"/>
          <w:sz w:val="32"/>
          <w:szCs w:val="32"/>
        </w:rPr>
      </w:pPr>
      <w:r>
        <w:rPr>
          <w:rFonts w:ascii="仿宋_GB2312" w:eastAsia="仿宋_GB2312" w:hAnsi="宋体" w:cs="宋体" w:hint="eastAsia"/>
          <w:b/>
          <w:kern w:val="0"/>
          <w:sz w:val="32"/>
          <w:szCs w:val="32"/>
        </w:rPr>
        <w:t xml:space="preserve">第九条  </w:t>
      </w:r>
      <w:r>
        <w:rPr>
          <w:rFonts w:ascii="仿宋_GB2312" w:eastAsia="仿宋_GB2312" w:hint="eastAsia"/>
          <w:snapToGrid w:val="0"/>
          <w:kern w:val="0"/>
          <w:sz w:val="32"/>
          <w:szCs w:val="32"/>
        </w:rPr>
        <w:t>各相关部门应当加强电子卷宗制作、使用、管理安全保密工作，严格执行《保密法》的有关规定，对涉及国家秘密的案件，需在未联网的涉密计算机制作生成电子卷宗，在电子卷宗形成过程中发生电子卷宗失密、泄密情形的，应立即采取补救措施并报告市中院保密办，保密办接报后应按规定及时处理。</w:t>
      </w:r>
    </w:p>
    <w:p w:rsidR="00392359" w:rsidRDefault="00392359" w:rsidP="00392359">
      <w:pPr>
        <w:adjustRightInd w:val="0"/>
        <w:snapToGrid w:val="0"/>
        <w:spacing w:line="594" w:lineRule="exact"/>
        <w:ind w:firstLineChars="200" w:firstLine="643"/>
        <w:rPr>
          <w:rFonts w:ascii="仿宋_GB2312" w:eastAsia="仿宋_GB2312" w:hAnsi="宋体" w:cs="宋体"/>
          <w:b/>
          <w:kern w:val="0"/>
          <w:sz w:val="32"/>
          <w:szCs w:val="32"/>
        </w:rPr>
      </w:pPr>
      <w:r>
        <w:rPr>
          <w:rFonts w:ascii="仿宋_GB2312" w:eastAsia="仿宋_GB2312" w:hAnsi="宋体" w:cs="宋体" w:hint="eastAsia"/>
          <w:b/>
          <w:kern w:val="0"/>
          <w:sz w:val="32"/>
          <w:szCs w:val="32"/>
        </w:rPr>
        <w:t xml:space="preserve">第十条  </w:t>
      </w:r>
      <w:r>
        <w:rPr>
          <w:rFonts w:ascii="仿宋_GB2312" w:eastAsia="仿宋_GB2312" w:hAnsi="宋体" w:cs="宋体" w:hint="eastAsia"/>
          <w:kern w:val="0"/>
          <w:sz w:val="32"/>
          <w:szCs w:val="32"/>
        </w:rPr>
        <w:t>市中院应当将</w:t>
      </w:r>
      <w:r>
        <w:rPr>
          <w:rFonts w:ascii="仿宋_GB2312" w:eastAsia="仿宋_GB2312" w:hint="eastAsia"/>
          <w:snapToGrid w:val="0"/>
          <w:kern w:val="0"/>
          <w:sz w:val="32"/>
          <w:szCs w:val="32"/>
        </w:rPr>
        <w:t>电子卷宗随案同步生成及深度应用纳入本院审判绩效考核，确保工作落到实处。</w:t>
      </w:r>
    </w:p>
    <w:p w:rsidR="00392359" w:rsidRDefault="00392359" w:rsidP="00392359">
      <w:pPr>
        <w:ind w:firstLineChars="200" w:firstLine="643"/>
        <w:rPr>
          <w:rFonts w:ascii="仿宋_GB2312" w:eastAsia="仿宋_GB2312" w:hAnsi="仿宋"/>
          <w:sz w:val="32"/>
          <w:szCs w:val="32"/>
        </w:rPr>
      </w:pPr>
      <w:r>
        <w:rPr>
          <w:rFonts w:ascii="仿宋_GB2312" w:eastAsia="仿宋_GB2312" w:hAnsi="宋体" w:cs="宋体" w:hint="eastAsia"/>
          <w:b/>
          <w:kern w:val="0"/>
          <w:sz w:val="32"/>
          <w:szCs w:val="32"/>
        </w:rPr>
        <w:t xml:space="preserve">第十一条  </w:t>
      </w:r>
      <w:r>
        <w:rPr>
          <w:rFonts w:ascii="仿宋_GB2312" w:eastAsia="仿宋_GB2312" w:hAnsi="宋体" w:cs="宋体" w:hint="eastAsia"/>
          <w:kern w:val="0"/>
          <w:sz w:val="32"/>
          <w:szCs w:val="32"/>
        </w:rPr>
        <w:t>市中院</w:t>
      </w:r>
      <w:r>
        <w:rPr>
          <w:rFonts w:ascii="仿宋_GB2312" w:eastAsia="仿宋_GB2312" w:hint="eastAsia"/>
          <w:sz w:val="32"/>
          <w:szCs w:val="32"/>
        </w:rPr>
        <w:t>应当建立专门的电子档案阅览窗口，提供设备供外来人员借阅电子档案。</w:t>
      </w:r>
      <w:r>
        <w:rPr>
          <w:rFonts w:ascii="仿宋_GB2312" w:eastAsia="仿宋_GB2312" w:hAnsi="仿宋" w:hint="eastAsia"/>
          <w:sz w:val="32"/>
          <w:szCs w:val="32"/>
        </w:rPr>
        <w:t>可公开的电子档案应当与互联网吉林电子法院平台挂接，为诉讼当事人、代理律师等提供在线浏览。</w:t>
      </w:r>
    </w:p>
    <w:p w:rsidR="00392359" w:rsidRDefault="00392359" w:rsidP="00392359">
      <w:pPr>
        <w:ind w:firstLineChars="200" w:firstLine="643"/>
        <w:rPr>
          <w:rFonts w:ascii="仿宋_GB2312" w:eastAsia="仿宋_GB2312"/>
          <w:sz w:val="32"/>
          <w:szCs w:val="32"/>
        </w:rPr>
      </w:pPr>
      <w:r>
        <w:rPr>
          <w:rFonts w:ascii="仿宋_GB2312" w:eastAsia="仿宋_GB2312" w:hAnsi="宋体" w:cs="宋体" w:hint="eastAsia"/>
          <w:b/>
          <w:kern w:val="0"/>
          <w:sz w:val="32"/>
          <w:szCs w:val="32"/>
        </w:rPr>
        <w:t xml:space="preserve">第十二条  </w:t>
      </w:r>
      <w:r>
        <w:rPr>
          <w:rFonts w:ascii="仿宋_GB2312" w:eastAsia="仿宋_GB2312" w:hint="eastAsia"/>
          <w:sz w:val="32"/>
          <w:szCs w:val="32"/>
        </w:rPr>
        <w:t>市中院应当做好电子档案的集中存储、管理和备份工作，确保电子档案资料的安全。</w:t>
      </w:r>
    </w:p>
    <w:p w:rsidR="00392359" w:rsidRDefault="00392359" w:rsidP="00392359">
      <w:pPr>
        <w:ind w:firstLineChars="196" w:firstLine="630"/>
        <w:rPr>
          <w:rFonts w:ascii="仿宋_GB2312" w:eastAsia="仿宋_GB2312"/>
          <w:sz w:val="32"/>
          <w:szCs w:val="32"/>
        </w:rPr>
      </w:pPr>
      <w:r>
        <w:rPr>
          <w:rFonts w:ascii="仿宋_GB2312" w:eastAsia="仿宋_GB2312" w:hAnsi="宋体" w:cs="宋体" w:hint="eastAsia"/>
          <w:b/>
          <w:kern w:val="0"/>
          <w:sz w:val="32"/>
          <w:szCs w:val="32"/>
        </w:rPr>
        <w:t xml:space="preserve">第十三条  </w:t>
      </w:r>
      <w:r>
        <w:rPr>
          <w:rFonts w:ascii="仿宋_GB2312" w:eastAsia="仿宋_GB2312" w:hAnsi="宋体" w:cs="宋体" w:hint="eastAsia"/>
          <w:kern w:val="0"/>
          <w:sz w:val="32"/>
          <w:szCs w:val="32"/>
        </w:rPr>
        <w:t>执行案件电子卷宗随案同步生成和深度应用工作由执行局研究落实。</w:t>
      </w:r>
    </w:p>
    <w:p w:rsidR="00392359" w:rsidRDefault="00392359" w:rsidP="00392359">
      <w:pPr>
        <w:ind w:firstLineChars="196" w:firstLine="630"/>
        <w:rPr>
          <w:rFonts w:ascii="仿宋_GB2312" w:eastAsia="仿宋_GB2312"/>
          <w:color w:val="000000" w:themeColor="text1"/>
          <w:sz w:val="32"/>
          <w:szCs w:val="32"/>
        </w:rPr>
      </w:pPr>
      <w:r>
        <w:rPr>
          <w:rFonts w:ascii="仿宋_GB2312" w:eastAsia="仿宋_GB2312" w:hint="eastAsia"/>
          <w:b/>
          <w:color w:val="000000" w:themeColor="text1"/>
          <w:sz w:val="32"/>
          <w:szCs w:val="32"/>
        </w:rPr>
        <w:lastRenderedPageBreak/>
        <w:t xml:space="preserve">第十四条  </w:t>
      </w:r>
      <w:r>
        <w:rPr>
          <w:rFonts w:ascii="仿宋_GB2312" w:eastAsia="仿宋_GB2312" w:hint="eastAsia"/>
          <w:color w:val="000000" w:themeColor="text1"/>
          <w:sz w:val="32"/>
          <w:szCs w:val="32"/>
        </w:rPr>
        <w:t>本规范由长春市中级人民法院负责解释。</w:t>
      </w:r>
    </w:p>
    <w:p w:rsidR="00392359" w:rsidRDefault="00392359" w:rsidP="00392359">
      <w:pPr>
        <w:ind w:firstLineChars="205" w:firstLine="659"/>
        <w:jc w:val="left"/>
        <w:rPr>
          <w:rFonts w:ascii="仿宋_GB2312" w:eastAsia="仿宋_GB2312"/>
          <w:color w:val="000000" w:themeColor="text1"/>
          <w:sz w:val="32"/>
          <w:szCs w:val="32"/>
        </w:rPr>
      </w:pPr>
      <w:r>
        <w:rPr>
          <w:rFonts w:ascii="仿宋_GB2312" w:eastAsia="仿宋_GB2312" w:hint="eastAsia"/>
          <w:b/>
          <w:color w:val="000000" w:themeColor="text1"/>
          <w:sz w:val="32"/>
          <w:szCs w:val="32"/>
        </w:rPr>
        <w:t xml:space="preserve">第十五条  </w:t>
      </w:r>
      <w:r>
        <w:rPr>
          <w:rFonts w:ascii="仿宋_GB2312" w:eastAsia="仿宋_GB2312" w:hint="eastAsia"/>
          <w:color w:val="000000" w:themeColor="text1"/>
          <w:sz w:val="32"/>
          <w:szCs w:val="32"/>
        </w:rPr>
        <w:t>本规范自公布之日起施行。</w:t>
      </w:r>
    </w:p>
    <w:p w:rsidR="00FA1DDF" w:rsidRPr="00392359" w:rsidRDefault="00FA1DDF" w:rsidP="0029350F">
      <w:pPr>
        <w:spacing w:line="600" w:lineRule="exact"/>
        <w:jc w:val="center"/>
        <w:rPr>
          <w:rFonts w:ascii="黑体" w:eastAsia="黑体" w:hAnsi="黑体"/>
          <w:sz w:val="32"/>
          <w:szCs w:val="32"/>
        </w:rPr>
      </w:pPr>
    </w:p>
    <w:p w:rsidR="00F66E23" w:rsidRPr="009512BB" w:rsidRDefault="00F66E23" w:rsidP="0029350F">
      <w:pPr>
        <w:spacing w:line="600" w:lineRule="exact"/>
        <w:jc w:val="center"/>
        <w:rPr>
          <w:b/>
          <w:sz w:val="44"/>
          <w:szCs w:val="44"/>
        </w:rPr>
      </w:pPr>
    </w:p>
    <w:p w:rsidR="000E1A90" w:rsidRDefault="000E1A90" w:rsidP="000E1A90">
      <w:pPr>
        <w:spacing w:line="600" w:lineRule="exact"/>
        <w:ind w:firstLineChars="100" w:firstLine="320"/>
        <w:rPr>
          <w:rFonts w:ascii="仿宋_GB2312" w:eastAsia="仿宋_GB2312" w:hAnsi="仿宋" w:cs="仿宋"/>
          <w:sz w:val="32"/>
          <w:szCs w:val="32"/>
        </w:rPr>
      </w:pPr>
    </w:p>
    <w:p w:rsidR="000E1A90" w:rsidRDefault="000E1A90" w:rsidP="000E1A90">
      <w:pPr>
        <w:spacing w:line="600" w:lineRule="exact"/>
        <w:ind w:firstLineChars="100" w:firstLine="320"/>
        <w:rPr>
          <w:rFonts w:ascii="仿宋_GB2312" w:eastAsia="仿宋_GB2312" w:hAnsi="仿宋" w:cs="仿宋"/>
          <w:sz w:val="32"/>
          <w:szCs w:val="32"/>
        </w:rPr>
      </w:pPr>
    </w:p>
    <w:p w:rsidR="000E1A90" w:rsidRDefault="000E1A90" w:rsidP="000E1A90">
      <w:pPr>
        <w:spacing w:line="600" w:lineRule="exact"/>
        <w:ind w:firstLineChars="100" w:firstLine="320"/>
        <w:rPr>
          <w:rFonts w:ascii="仿宋_GB2312" w:eastAsia="仿宋_GB2312" w:hAnsi="仿宋" w:cs="仿宋"/>
          <w:sz w:val="32"/>
          <w:szCs w:val="32"/>
        </w:rPr>
      </w:pPr>
    </w:p>
    <w:p w:rsidR="0029350F" w:rsidRDefault="0029350F" w:rsidP="0029350F">
      <w:pPr>
        <w:spacing w:line="600" w:lineRule="exact"/>
        <w:ind w:firstLineChars="1350" w:firstLine="4320"/>
        <w:rPr>
          <w:rFonts w:ascii="仿宋_GB2312" w:eastAsia="仿宋_GB2312" w:hAnsi="仿宋" w:cs="仿宋"/>
          <w:sz w:val="32"/>
          <w:szCs w:val="32"/>
        </w:rPr>
      </w:pPr>
      <w:r>
        <w:rPr>
          <w:rFonts w:ascii="仿宋_GB2312" w:eastAsia="仿宋_GB2312" w:hAnsi="仿宋" w:cs="仿宋" w:hint="eastAsia"/>
          <w:sz w:val="32"/>
          <w:szCs w:val="32"/>
        </w:rPr>
        <w:t>吉林省长春市中级人民法院</w:t>
      </w:r>
    </w:p>
    <w:p w:rsidR="0029350F" w:rsidRDefault="0029350F" w:rsidP="0029350F">
      <w:pPr>
        <w:spacing w:line="600" w:lineRule="exact"/>
        <w:ind w:firstLineChars="1600" w:firstLine="5120"/>
        <w:rPr>
          <w:rFonts w:ascii="仿宋_GB2312" w:eastAsia="仿宋_GB2312" w:hAnsi="仿宋" w:cs="仿宋"/>
          <w:sz w:val="32"/>
          <w:szCs w:val="32"/>
        </w:rPr>
      </w:pPr>
      <w:r>
        <w:rPr>
          <w:rFonts w:ascii="仿宋_GB2312" w:eastAsia="仿宋_GB2312" w:hAnsi="仿宋" w:cs="仿宋" w:hint="eastAsia"/>
          <w:sz w:val="32"/>
          <w:szCs w:val="32"/>
        </w:rPr>
        <w:t>2018年</w:t>
      </w:r>
      <w:r w:rsidR="00392359">
        <w:rPr>
          <w:rFonts w:ascii="仿宋_GB2312" w:eastAsia="仿宋_GB2312" w:hAnsi="仿宋" w:cs="仿宋" w:hint="eastAsia"/>
          <w:sz w:val="32"/>
          <w:szCs w:val="32"/>
        </w:rPr>
        <w:t>9</w:t>
      </w:r>
      <w:r>
        <w:rPr>
          <w:rFonts w:ascii="仿宋_GB2312" w:eastAsia="仿宋_GB2312" w:hAnsi="仿宋" w:cs="仿宋" w:hint="eastAsia"/>
          <w:sz w:val="32"/>
          <w:szCs w:val="32"/>
        </w:rPr>
        <w:t>月</w:t>
      </w:r>
      <w:r w:rsidR="00392359">
        <w:rPr>
          <w:rFonts w:ascii="仿宋_GB2312" w:eastAsia="仿宋_GB2312" w:hAnsi="仿宋" w:cs="仿宋" w:hint="eastAsia"/>
          <w:sz w:val="32"/>
          <w:szCs w:val="32"/>
        </w:rPr>
        <w:t>11</w:t>
      </w:r>
      <w:r>
        <w:rPr>
          <w:rFonts w:ascii="仿宋_GB2312" w:eastAsia="仿宋_GB2312" w:hAnsi="仿宋" w:cs="仿宋" w:hint="eastAsia"/>
          <w:sz w:val="32"/>
          <w:szCs w:val="32"/>
        </w:rPr>
        <w:t>日</w:t>
      </w:r>
    </w:p>
    <w:p w:rsidR="0029350F" w:rsidRDefault="0029350F" w:rsidP="0029350F">
      <w:pPr>
        <w:spacing w:line="600" w:lineRule="exact"/>
        <w:ind w:firstLineChars="1600" w:firstLine="5120"/>
        <w:rPr>
          <w:rFonts w:ascii="仿宋_GB2312" w:eastAsia="仿宋_GB2312" w:hAnsi="仿宋" w:cs="仿宋"/>
          <w:sz w:val="32"/>
          <w:szCs w:val="32"/>
        </w:rPr>
      </w:pPr>
    </w:p>
    <w:p w:rsidR="0029350F" w:rsidRDefault="0029350F" w:rsidP="0029350F">
      <w:pPr>
        <w:spacing w:line="600" w:lineRule="exact"/>
        <w:ind w:firstLineChars="1600" w:firstLine="5120"/>
        <w:rPr>
          <w:rFonts w:ascii="仿宋_GB2312" w:eastAsia="仿宋_GB2312" w:hAnsi="仿宋" w:cs="仿宋"/>
          <w:sz w:val="32"/>
          <w:szCs w:val="32"/>
        </w:rPr>
      </w:pPr>
    </w:p>
    <w:p w:rsidR="0029350F" w:rsidRDefault="0029350F" w:rsidP="0029350F">
      <w:pPr>
        <w:spacing w:line="600" w:lineRule="exact"/>
        <w:ind w:firstLineChars="1600" w:firstLine="5120"/>
        <w:rPr>
          <w:rFonts w:ascii="仿宋_GB2312" w:eastAsia="仿宋_GB2312" w:hAnsi="仿宋" w:cs="仿宋"/>
          <w:sz w:val="32"/>
          <w:szCs w:val="32"/>
        </w:rPr>
      </w:pPr>
    </w:p>
    <w:p w:rsidR="0029350F" w:rsidRDefault="0029350F" w:rsidP="0029350F">
      <w:pPr>
        <w:spacing w:line="600" w:lineRule="exact"/>
        <w:ind w:firstLineChars="1600" w:firstLine="5120"/>
        <w:rPr>
          <w:rFonts w:ascii="仿宋_GB2312" w:eastAsia="仿宋_GB2312" w:hAnsi="仿宋" w:cs="仿宋"/>
          <w:sz w:val="32"/>
          <w:szCs w:val="32"/>
        </w:rPr>
      </w:pPr>
    </w:p>
    <w:p w:rsidR="0029350F" w:rsidRDefault="0029350F" w:rsidP="0029350F">
      <w:pPr>
        <w:spacing w:line="600" w:lineRule="exact"/>
        <w:ind w:firstLineChars="1600" w:firstLine="5120"/>
        <w:rPr>
          <w:rFonts w:ascii="仿宋_GB2312" w:eastAsia="仿宋_GB2312" w:hAnsi="仿宋" w:cs="仿宋"/>
          <w:sz w:val="32"/>
          <w:szCs w:val="32"/>
        </w:rPr>
      </w:pPr>
    </w:p>
    <w:p w:rsidR="0029350F" w:rsidRDefault="0029350F" w:rsidP="0029350F">
      <w:pPr>
        <w:spacing w:line="600" w:lineRule="exact"/>
        <w:ind w:firstLineChars="1600" w:firstLine="5120"/>
        <w:rPr>
          <w:rFonts w:ascii="仿宋_GB2312" w:eastAsia="仿宋_GB2312" w:hAnsi="仿宋" w:cs="仿宋"/>
          <w:sz w:val="32"/>
          <w:szCs w:val="32"/>
        </w:rPr>
      </w:pPr>
    </w:p>
    <w:p w:rsidR="0029350F" w:rsidRDefault="0029350F" w:rsidP="0029350F">
      <w:pPr>
        <w:spacing w:line="600" w:lineRule="exact"/>
        <w:ind w:firstLineChars="1600" w:firstLine="5120"/>
        <w:rPr>
          <w:rFonts w:ascii="仿宋_GB2312" w:eastAsia="仿宋_GB2312" w:hAnsi="仿宋" w:cs="仿宋"/>
          <w:sz w:val="32"/>
          <w:szCs w:val="32"/>
        </w:rPr>
      </w:pPr>
    </w:p>
    <w:p w:rsidR="0029350F" w:rsidRDefault="0029350F" w:rsidP="0029350F">
      <w:pPr>
        <w:spacing w:line="600" w:lineRule="exact"/>
        <w:ind w:firstLineChars="1600" w:firstLine="5120"/>
        <w:rPr>
          <w:rFonts w:ascii="仿宋_GB2312" w:eastAsia="仿宋_GB2312" w:hAnsi="仿宋" w:cs="仿宋"/>
          <w:sz w:val="32"/>
          <w:szCs w:val="32"/>
        </w:rPr>
      </w:pPr>
    </w:p>
    <w:p w:rsidR="0029350F" w:rsidRDefault="0029350F" w:rsidP="0029350F">
      <w:pPr>
        <w:spacing w:line="600" w:lineRule="exact"/>
        <w:ind w:firstLineChars="1600" w:firstLine="5120"/>
        <w:rPr>
          <w:rFonts w:ascii="仿宋_GB2312" w:eastAsia="仿宋_GB2312" w:hAnsi="仿宋" w:cs="仿宋"/>
          <w:sz w:val="32"/>
          <w:szCs w:val="32"/>
        </w:rPr>
      </w:pPr>
    </w:p>
    <w:p w:rsidR="0029350F" w:rsidRDefault="0029350F" w:rsidP="00392359">
      <w:pPr>
        <w:spacing w:line="600" w:lineRule="exact"/>
        <w:rPr>
          <w:rFonts w:ascii="仿宋_GB2312" w:eastAsia="仿宋_GB2312" w:hAnsi="仿宋" w:cs="仿宋"/>
          <w:sz w:val="32"/>
          <w:szCs w:val="32"/>
        </w:rPr>
      </w:pPr>
    </w:p>
    <w:p w:rsidR="0029350F" w:rsidRDefault="0029350F" w:rsidP="0029350F">
      <w:pPr>
        <w:spacing w:line="600" w:lineRule="exact"/>
      </w:pPr>
    </w:p>
    <w:p w:rsidR="0029350F" w:rsidRPr="00401A45" w:rsidRDefault="0029350F" w:rsidP="0029350F">
      <w:pPr>
        <w:adjustRightInd w:val="0"/>
        <w:spacing w:line="700" w:lineRule="exact"/>
        <w:rPr>
          <w:rFonts w:ascii="仿宋_GB2312" w:eastAsia="仿宋_GB2312" w:hAnsi="宋体" w:cs="Arial"/>
          <w:sz w:val="32"/>
          <w:szCs w:val="32"/>
          <w:u w:val="thick"/>
        </w:rPr>
      </w:pPr>
      <w:r w:rsidRPr="00401A45">
        <w:rPr>
          <w:rFonts w:ascii="仿宋_GB2312" w:eastAsia="仿宋_GB2312" w:hAnsi="宋体" w:cs="Arial" w:hint="eastAsia"/>
          <w:sz w:val="32"/>
          <w:szCs w:val="32"/>
          <w:u w:val="thick"/>
        </w:rPr>
        <w:t xml:space="preserve">                                                                      </w:t>
      </w:r>
    </w:p>
    <w:p w:rsidR="0029350F" w:rsidRPr="002B435F" w:rsidRDefault="0029350F" w:rsidP="0029350F">
      <w:pPr>
        <w:jc w:val="left"/>
        <w:rPr>
          <w:rFonts w:ascii="仿宋_GB2312" w:eastAsia="仿宋_GB2312" w:hAnsi="仿宋"/>
          <w:sz w:val="32"/>
          <w:szCs w:val="32"/>
        </w:rPr>
      </w:pPr>
      <w:r w:rsidRPr="00401A45">
        <w:rPr>
          <w:rFonts w:ascii="仿宋_GB2312" w:eastAsia="仿宋_GB2312" w:hAnsi="宋体" w:cs="Arial" w:hint="eastAsia"/>
          <w:sz w:val="32"/>
          <w:szCs w:val="32"/>
          <w:u w:val="thick"/>
        </w:rPr>
        <w:t xml:space="preserve"> </w:t>
      </w:r>
      <w:r w:rsidRPr="00401A45">
        <w:rPr>
          <w:rFonts w:ascii="仿宋_GB2312" w:eastAsia="仿宋_GB2312" w:hAnsi="宋体" w:cs="Arial" w:hint="eastAsia"/>
          <w:position w:val="12"/>
          <w:sz w:val="32"/>
          <w:szCs w:val="32"/>
          <w:u w:val="thick"/>
        </w:rPr>
        <w:t>长春市中级人民法院办公室</w:t>
      </w:r>
      <w:r w:rsidR="00392359">
        <w:rPr>
          <w:rFonts w:ascii="仿宋_GB2312" w:eastAsia="仿宋_GB2312" w:hAnsi="宋体" w:cs="Arial" w:hint="eastAsia"/>
          <w:position w:val="12"/>
          <w:sz w:val="32"/>
          <w:szCs w:val="32"/>
          <w:u w:val="thick"/>
        </w:rPr>
        <w:t xml:space="preserve">      </w:t>
      </w:r>
      <w:r>
        <w:rPr>
          <w:rFonts w:ascii="仿宋_GB2312" w:eastAsia="仿宋_GB2312" w:hAnsi="宋体" w:cs="Arial" w:hint="eastAsia"/>
          <w:position w:val="12"/>
          <w:sz w:val="32"/>
          <w:szCs w:val="32"/>
          <w:u w:val="thick"/>
        </w:rPr>
        <w:t xml:space="preserve">  2018</w:t>
      </w:r>
      <w:r w:rsidRPr="00401A45">
        <w:rPr>
          <w:rFonts w:ascii="仿宋_GB2312" w:eastAsia="仿宋_GB2312" w:hAnsi="宋体" w:cs="Arial" w:hint="eastAsia"/>
          <w:position w:val="12"/>
          <w:sz w:val="32"/>
          <w:szCs w:val="32"/>
          <w:u w:val="thick"/>
        </w:rPr>
        <w:t>年</w:t>
      </w:r>
      <w:r w:rsidR="00392359">
        <w:rPr>
          <w:rFonts w:ascii="仿宋_GB2312" w:eastAsia="仿宋_GB2312" w:hAnsi="宋体" w:cs="Arial" w:hint="eastAsia"/>
          <w:position w:val="12"/>
          <w:sz w:val="32"/>
          <w:szCs w:val="32"/>
          <w:u w:val="thick"/>
        </w:rPr>
        <w:t>9</w:t>
      </w:r>
      <w:r w:rsidRPr="00401A45">
        <w:rPr>
          <w:rFonts w:ascii="仿宋_GB2312" w:eastAsia="仿宋_GB2312" w:hAnsi="宋体" w:cs="Arial" w:hint="eastAsia"/>
          <w:position w:val="12"/>
          <w:sz w:val="32"/>
          <w:szCs w:val="32"/>
          <w:u w:val="thick"/>
        </w:rPr>
        <w:t>月</w:t>
      </w:r>
      <w:r w:rsidR="00392359">
        <w:rPr>
          <w:rFonts w:ascii="仿宋_GB2312" w:eastAsia="仿宋_GB2312" w:hAnsi="宋体" w:cs="Arial" w:hint="eastAsia"/>
          <w:position w:val="12"/>
          <w:sz w:val="32"/>
          <w:szCs w:val="32"/>
          <w:u w:val="thick"/>
        </w:rPr>
        <w:t>11</w:t>
      </w:r>
      <w:r w:rsidRPr="00401A45">
        <w:rPr>
          <w:rFonts w:ascii="仿宋_GB2312" w:eastAsia="仿宋_GB2312" w:hAnsi="宋体" w:cs="Arial" w:hint="eastAsia"/>
          <w:position w:val="12"/>
          <w:sz w:val="32"/>
          <w:szCs w:val="32"/>
          <w:u w:val="thick"/>
        </w:rPr>
        <w:t>日印发</w:t>
      </w:r>
      <w:r>
        <w:rPr>
          <w:rFonts w:ascii="仿宋_GB2312" w:eastAsia="仿宋_GB2312" w:hAnsi="宋体" w:cs="Arial" w:hint="eastAsia"/>
          <w:position w:val="12"/>
          <w:sz w:val="32"/>
          <w:szCs w:val="32"/>
          <w:u w:val="thick"/>
        </w:rPr>
        <w:t xml:space="preserve">  </w:t>
      </w:r>
    </w:p>
    <w:sectPr w:rsidR="0029350F" w:rsidRPr="002B435F" w:rsidSect="0029350F">
      <w:footerReference w:type="even" r:id="rId7"/>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7EDE" w:rsidRDefault="00207EDE" w:rsidP="00FA1DDF">
      <w:r>
        <w:separator/>
      </w:r>
    </w:p>
  </w:endnote>
  <w:endnote w:type="continuationSeparator" w:id="1">
    <w:p w:rsidR="00207EDE" w:rsidRDefault="00207EDE" w:rsidP="00FA1D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68137"/>
      <w:docPartObj>
        <w:docPartGallery w:val="Page Numbers (Bottom of Page)"/>
        <w:docPartUnique/>
      </w:docPartObj>
    </w:sdtPr>
    <w:sdtEndPr>
      <w:rPr>
        <w:rFonts w:asciiTheme="minorEastAsia" w:hAnsiTheme="minorEastAsia"/>
        <w:sz w:val="28"/>
        <w:szCs w:val="28"/>
      </w:rPr>
    </w:sdtEndPr>
    <w:sdtContent>
      <w:p w:rsidR="0029350F" w:rsidRPr="0029350F" w:rsidRDefault="00F23286">
        <w:pPr>
          <w:pStyle w:val="a4"/>
          <w:rPr>
            <w:rFonts w:asciiTheme="minorEastAsia" w:hAnsiTheme="minorEastAsia"/>
            <w:sz w:val="28"/>
            <w:szCs w:val="28"/>
          </w:rPr>
        </w:pPr>
        <w:r w:rsidRPr="0029350F">
          <w:rPr>
            <w:rFonts w:asciiTheme="minorEastAsia" w:hAnsiTheme="minorEastAsia"/>
            <w:sz w:val="28"/>
            <w:szCs w:val="28"/>
          </w:rPr>
          <w:fldChar w:fldCharType="begin"/>
        </w:r>
        <w:r w:rsidR="0029350F" w:rsidRPr="0029350F">
          <w:rPr>
            <w:rFonts w:asciiTheme="minorEastAsia" w:hAnsiTheme="minorEastAsia"/>
            <w:sz w:val="28"/>
            <w:szCs w:val="28"/>
          </w:rPr>
          <w:instrText xml:space="preserve"> PAGE   \* MERGEFORMAT </w:instrText>
        </w:r>
        <w:r w:rsidRPr="0029350F">
          <w:rPr>
            <w:rFonts w:asciiTheme="minorEastAsia" w:hAnsiTheme="minorEastAsia"/>
            <w:sz w:val="28"/>
            <w:szCs w:val="28"/>
          </w:rPr>
          <w:fldChar w:fldCharType="separate"/>
        </w:r>
        <w:r w:rsidR="009B75EB" w:rsidRPr="009B75EB">
          <w:rPr>
            <w:rFonts w:asciiTheme="minorEastAsia" w:hAnsiTheme="minorEastAsia"/>
            <w:noProof/>
            <w:sz w:val="28"/>
            <w:szCs w:val="28"/>
            <w:lang w:val="zh-CN"/>
          </w:rPr>
          <w:t>-</w:t>
        </w:r>
        <w:r w:rsidR="009B75EB">
          <w:rPr>
            <w:rFonts w:asciiTheme="minorEastAsia" w:hAnsiTheme="minorEastAsia"/>
            <w:noProof/>
            <w:sz w:val="28"/>
            <w:szCs w:val="28"/>
          </w:rPr>
          <w:t xml:space="preserve"> 4 -</w:t>
        </w:r>
        <w:r w:rsidRPr="0029350F">
          <w:rPr>
            <w:rFonts w:asciiTheme="minorEastAsia" w:hAnsiTheme="minorEastAsia"/>
            <w:sz w:val="28"/>
            <w:szCs w:val="28"/>
          </w:rPr>
          <w:fldChar w:fldCharType="end"/>
        </w:r>
      </w:p>
    </w:sdtContent>
  </w:sdt>
  <w:p w:rsidR="0029350F" w:rsidRPr="0029350F" w:rsidRDefault="0029350F">
    <w:pPr>
      <w:pStyle w:val="a4"/>
      <w:rPr>
        <w:rFonts w:asciiTheme="minorEastAsia" w:hAnsiTheme="minorEastAsia"/>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68134"/>
      <w:docPartObj>
        <w:docPartGallery w:val="Page Numbers (Bottom of Page)"/>
        <w:docPartUnique/>
      </w:docPartObj>
    </w:sdtPr>
    <w:sdtEndPr>
      <w:rPr>
        <w:rFonts w:asciiTheme="minorEastAsia" w:hAnsiTheme="minorEastAsia"/>
        <w:sz w:val="28"/>
        <w:szCs w:val="28"/>
      </w:rPr>
    </w:sdtEndPr>
    <w:sdtContent>
      <w:p w:rsidR="0029350F" w:rsidRPr="0029350F" w:rsidRDefault="00F23286">
        <w:pPr>
          <w:pStyle w:val="a4"/>
          <w:jc w:val="right"/>
          <w:rPr>
            <w:rFonts w:asciiTheme="minorEastAsia" w:hAnsiTheme="minorEastAsia"/>
            <w:sz w:val="28"/>
            <w:szCs w:val="28"/>
          </w:rPr>
        </w:pPr>
        <w:r w:rsidRPr="0029350F">
          <w:rPr>
            <w:rFonts w:asciiTheme="minorEastAsia" w:hAnsiTheme="minorEastAsia"/>
            <w:sz w:val="28"/>
            <w:szCs w:val="28"/>
          </w:rPr>
          <w:fldChar w:fldCharType="begin"/>
        </w:r>
        <w:r w:rsidR="0029350F" w:rsidRPr="0029350F">
          <w:rPr>
            <w:rFonts w:asciiTheme="minorEastAsia" w:hAnsiTheme="minorEastAsia"/>
            <w:sz w:val="28"/>
            <w:szCs w:val="28"/>
          </w:rPr>
          <w:instrText xml:space="preserve"> PAGE   \* MERGEFORMAT </w:instrText>
        </w:r>
        <w:r w:rsidRPr="0029350F">
          <w:rPr>
            <w:rFonts w:asciiTheme="minorEastAsia" w:hAnsiTheme="minorEastAsia"/>
            <w:sz w:val="28"/>
            <w:szCs w:val="28"/>
          </w:rPr>
          <w:fldChar w:fldCharType="separate"/>
        </w:r>
        <w:r w:rsidR="009B75EB" w:rsidRPr="009B75EB">
          <w:rPr>
            <w:rFonts w:asciiTheme="minorEastAsia" w:hAnsiTheme="minorEastAsia"/>
            <w:noProof/>
            <w:sz w:val="28"/>
            <w:szCs w:val="28"/>
            <w:lang w:val="zh-CN"/>
          </w:rPr>
          <w:t>-</w:t>
        </w:r>
        <w:r w:rsidR="009B75EB">
          <w:rPr>
            <w:rFonts w:asciiTheme="minorEastAsia" w:hAnsiTheme="minorEastAsia"/>
            <w:noProof/>
            <w:sz w:val="28"/>
            <w:szCs w:val="28"/>
          </w:rPr>
          <w:t xml:space="preserve"> 5 -</w:t>
        </w:r>
        <w:r w:rsidRPr="0029350F">
          <w:rPr>
            <w:rFonts w:asciiTheme="minorEastAsia" w:hAnsiTheme="minorEastAsia"/>
            <w:sz w:val="28"/>
            <w:szCs w:val="28"/>
          </w:rPr>
          <w:fldChar w:fldCharType="end"/>
        </w:r>
      </w:p>
    </w:sdtContent>
  </w:sdt>
  <w:p w:rsidR="00F66E23" w:rsidRDefault="00F66E2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7EDE" w:rsidRDefault="00207EDE" w:rsidP="00FA1DDF">
      <w:r>
        <w:separator/>
      </w:r>
    </w:p>
  </w:footnote>
  <w:footnote w:type="continuationSeparator" w:id="1">
    <w:p w:rsidR="00207EDE" w:rsidRDefault="00207EDE" w:rsidP="00FA1D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1DDF"/>
    <w:rsid w:val="00022A0F"/>
    <w:rsid w:val="00031DF9"/>
    <w:rsid w:val="00064856"/>
    <w:rsid w:val="0007691B"/>
    <w:rsid w:val="0008278B"/>
    <w:rsid w:val="000C21D7"/>
    <w:rsid w:val="000E095D"/>
    <w:rsid w:val="000E1A90"/>
    <w:rsid w:val="00177625"/>
    <w:rsid w:val="00207EDE"/>
    <w:rsid w:val="00224841"/>
    <w:rsid w:val="00260FA9"/>
    <w:rsid w:val="0029350F"/>
    <w:rsid w:val="002A24ED"/>
    <w:rsid w:val="002D2F71"/>
    <w:rsid w:val="0031151E"/>
    <w:rsid w:val="00380383"/>
    <w:rsid w:val="00392359"/>
    <w:rsid w:val="003C12AC"/>
    <w:rsid w:val="003C7052"/>
    <w:rsid w:val="003E08B3"/>
    <w:rsid w:val="00400F77"/>
    <w:rsid w:val="004258F1"/>
    <w:rsid w:val="00432372"/>
    <w:rsid w:val="004502E4"/>
    <w:rsid w:val="004643D8"/>
    <w:rsid w:val="004C4D16"/>
    <w:rsid w:val="005149CA"/>
    <w:rsid w:val="005338BB"/>
    <w:rsid w:val="005779FD"/>
    <w:rsid w:val="005C51AA"/>
    <w:rsid w:val="005D6DCF"/>
    <w:rsid w:val="006373B6"/>
    <w:rsid w:val="00640C58"/>
    <w:rsid w:val="00647AB0"/>
    <w:rsid w:val="00685048"/>
    <w:rsid w:val="006E17D4"/>
    <w:rsid w:val="006F21F5"/>
    <w:rsid w:val="006F4752"/>
    <w:rsid w:val="00705469"/>
    <w:rsid w:val="007746F1"/>
    <w:rsid w:val="00811F0A"/>
    <w:rsid w:val="00830E8D"/>
    <w:rsid w:val="00876018"/>
    <w:rsid w:val="00892881"/>
    <w:rsid w:val="008F5202"/>
    <w:rsid w:val="009202F3"/>
    <w:rsid w:val="00930628"/>
    <w:rsid w:val="009344A8"/>
    <w:rsid w:val="00941F83"/>
    <w:rsid w:val="009512BB"/>
    <w:rsid w:val="00956E6D"/>
    <w:rsid w:val="009A7946"/>
    <w:rsid w:val="009B75EB"/>
    <w:rsid w:val="00A06E47"/>
    <w:rsid w:val="00A2687E"/>
    <w:rsid w:val="00A86914"/>
    <w:rsid w:val="00A9653D"/>
    <w:rsid w:val="00AA41C8"/>
    <w:rsid w:val="00AB1D2F"/>
    <w:rsid w:val="00AD076C"/>
    <w:rsid w:val="00B515B5"/>
    <w:rsid w:val="00B60A69"/>
    <w:rsid w:val="00BC1515"/>
    <w:rsid w:val="00BD087F"/>
    <w:rsid w:val="00C236F1"/>
    <w:rsid w:val="00C7121C"/>
    <w:rsid w:val="00CD7B96"/>
    <w:rsid w:val="00CF7432"/>
    <w:rsid w:val="00D01823"/>
    <w:rsid w:val="00D11B32"/>
    <w:rsid w:val="00D11EC1"/>
    <w:rsid w:val="00D8301F"/>
    <w:rsid w:val="00D92B2B"/>
    <w:rsid w:val="00DC0244"/>
    <w:rsid w:val="00E22954"/>
    <w:rsid w:val="00E70B9C"/>
    <w:rsid w:val="00EC0712"/>
    <w:rsid w:val="00F23286"/>
    <w:rsid w:val="00F5770A"/>
    <w:rsid w:val="00F66E23"/>
    <w:rsid w:val="00F75BCA"/>
    <w:rsid w:val="00FA1DDF"/>
    <w:rsid w:val="00FA40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rules v:ext="edit">
        <o:r id="V:Rule2"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DD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A1DD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A1DDF"/>
    <w:rPr>
      <w:sz w:val="18"/>
      <w:szCs w:val="18"/>
    </w:rPr>
  </w:style>
  <w:style w:type="paragraph" w:styleId="a4">
    <w:name w:val="footer"/>
    <w:basedOn w:val="a"/>
    <w:link w:val="Char0"/>
    <w:uiPriority w:val="99"/>
    <w:unhideWhenUsed/>
    <w:rsid w:val="00FA1DD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A1DDF"/>
    <w:rPr>
      <w:sz w:val="18"/>
      <w:szCs w:val="18"/>
    </w:rPr>
  </w:style>
  <w:style w:type="paragraph" w:styleId="a5">
    <w:name w:val="Date"/>
    <w:basedOn w:val="a"/>
    <w:next w:val="a"/>
    <w:link w:val="Char1"/>
    <w:uiPriority w:val="99"/>
    <w:semiHidden/>
    <w:unhideWhenUsed/>
    <w:rsid w:val="0029350F"/>
    <w:pPr>
      <w:ind w:leftChars="2500" w:left="100"/>
    </w:pPr>
  </w:style>
  <w:style w:type="character" w:customStyle="1" w:styleId="Char1">
    <w:name w:val="日期 Char"/>
    <w:basedOn w:val="a0"/>
    <w:link w:val="a5"/>
    <w:uiPriority w:val="99"/>
    <w:semiHidden/>
    <w:rsid w:val="0029350F"/>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2CE8D-5601-4D60-A35D-1AB51C813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266</Words>
  <Characters>1521</Characters>
  <Application>Microsoft Office Word</Application>
  <DocSecurity>0</DocSecurity>
  <Lines>12</Lines>
  <Paragraphs>3</Paragraphs>
  <ScaleCrop>false</ScaleCrop>
  <Company>Microsoft</Company>
  <LinksUpToDate>false</LinksUpToDate>
  <CharactersWithSpaces>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微软用户</cp:lastModifiedBy>
  <cp:revision>9</cp:revision>
  <cp:lastPrinted>2018-08-06T07:40:00Z</cp:lastPrinted>
  <dcterms:created xsi:type="dcterms:W3CDTF">2018-08-07T06:30:00Z</dcterms:created>
  <dcterms:modified xsi:type="dcterms:W3CDTF">2018-10-15T06:04:00Z</dcterms:modified>
</cp:coreProperties>
</file>